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E22" w:rsidRDefault="00E95269">
      <w:pPr>
        <w:tabs>
          <w:tab w:val="center" w:pos="4980"/>
        </w:tabs>
        <w:spacing w:after="452"/>
        <w:ind w:left="-15" w:right="0" w:firstLine="0"/>
        <w:jc w:val="left"/>
        <w:rPr>
          <w:sz w:val="34"/>
          <w:vertAlign w:val="superscript"/>
        </w:rPr>
      </w:pPr>
      <w:r>
        <w:rPr>
          <w:noProof/>
        </w:rPr>
        <w:drawing>
          <wp:anchor distT="0" distB="0" distL="114300" distR="114300" simplePos="0" relativeHeight="251659264" behindDoc="1" locked="0" layoutInCell="1" allowOverlap="1">
            <wp:simplePos x="0" y="0"/>
            <wp:positionH relativeFrom="column">
              <wp:posOffset>3181350</wp:posOffset>
            </wp:positionH>
            <wp:positionV relativeFrom="paragraph">
              <wp:posOffset>0</wp:posOffset>
            </wp:positionV>
            <wp:extent cx="3364230" cy="675640"/>
            <wp:effectExtent l="0" t="0" r="7620" b="0"/>
            <wp:wrapTight wrapText="bothSides">
              <wp:wrapPolygon edited="0">
                <wp:start x="0" y="0"/>
                <wp:lineTo x="0" y="20707"/>
                <wp:lineTo x="21527" y="20707"/>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4230" cy="6756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34"/>
          <w:vertAlign w:val="superscript"/>
        </w:rPr>
        <w:t xml:space="preserve"> </w:t>
      </w:r>
      <w:r>
        <w:rPr>
          <w:sz w:val="34"/>
          <w:vertAlign w:val="superscript"/>
        </w:rPr>
        <w:tab/>
      </w:r>
    </w:p>
    <w:p w:rsidR="00DF7E22" w:rsidRDefault="00DF7E22">
      <w:pPr>
        <w:tabs>
          <w:tab w:val="center" w:pos="4980"/>
        </w:tabs>
        <w:spacing w:after="452"/>
        <w:ind w:left="-15" w:right="0" w:firstLine="0"/>
        <w:jc w:val="left"/>
        <w:rPr>
          <w:b/>
          <w:sz w:val="96"/>
        </w:rPr>
      </w:pPr>
    </w:p>
    <w:p w:rsidR="00DF7E22" w:rsidRDefault="005C074F">
      <w:pPr>
        <w:tabs>
          <w:tab w:val="center" w:pos="4980"/>
        </w:tabs>
        <w:spacing w:after="452"/>
        <w:ind w:left="-15" w:right="0" w:firstLine="0"/>
        <w:jc w:val="left"/>
        <w:rPr>
          <w:b/>
          <w:sz w:val="96"/>
        </w:rPr>
      </w:pPr>
      <w:bookmarkStart w:id="0" w:name="_Hlk53148007"/>
      <w:r w:rsidRPr="00D03447">
        <w:rPr>
          <w:noProof/>
        </w:rPr>
        <w:drawing>
          <wp:inline distT="0" distB="0" distL="0" distR="0" wp14:anchorId="53317049" wp14:editId="2AAD8347">
            <wp:extent cx="5953125" cy="1676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3125" cy="1676400"/>
                    </a:xfrm>
                    <a:prstGeom prst="rect">
                      <a:avLst/>
                    </a:prstGeom>
                  </pic:spPr>
                </pic:pic>
              </a:graphicData>
            </a:graphic>
          </wp:inline>
        </w:drawing>
      </w:r>
    </w:p>
    <w:p w:rsidR="00DF7E22" w:rsidRPr="00053A01" w:rsidRDefault="00053A01">
      <w:pPr>
        <w:tabs>
          <w:tab w:val="center" w:pos="4980"/>
        </w:tabs>
        <w:spacing w:after="452"/>
        <w:ind w:left="-15" w:right="0" w:firstLine="0"/>
        <w:jc w:val="center"/>
        <w:rPr>
          <w:b/>
          <w:sz w:val="80"/>
          <w:szCs w:val="80"/>
          <w:u w:val="single"/>
        </w:rPr>
      </w:pPr>
      <w:r w:rsidRPr="00053A01">
        <w:rPr>
          <w:b/>
          <w:sz w:val="80"/>
          <w:szCs w:val="80"/>
        </w:rPr>
        <w:t xml:space="preserve"> </w:t>
      </w:r>
      <w:r>
        <w:rPr>
          <w:b/>
          <w:sz w:val="80"/>
          <w:szCs w:val="80"/>
        </w:rPr>
        <w:t xml:space="preserve"> </w:t>
      </w:r>
      <w:r w:rsidRPr="00053A01">
        <w:rPr>
          <w:b/>
          <w:sz w:val="80"/>
          <w:szCs w:val="80"/>
        </w:rPr>
        <w:t xml:space="preserve"> </w:t>
      </w:r>
      <w:r w:rsidR="005C074F" w:rsidRPr="00053A01">
        <w:rPr>
          <w:b/>
          <w:sz w:val="80"/>
          <w:szCs w:val="80"/>
          <w:u w:val="single"/>
        </w:rPr>
        <w:t xml:space="preserve">Exams </w:t>
      </w:r>
      <w:r w:rsidR="00E95269" w:rsidRPr="00053A01">
        <w:rPr>
          <w:b/>
          <w:sz w:val="80"/>
          <w:szCs w:val="80"/>
          <w:u w:val="single"/>
        </w:rPr>
        <w:t>Controlled</w:t>
      </w:r>
    </w:p>
    <w:p w:rsidR="00DF7E22" w:rsidRPr="00053A01" w:rsidRDefault="00E95269">
      <w:pPr>
        <w:spacing w:after="0"/>
        <w:ind w:left="610" w:right="0"/>
        <w:jc w:val="center"/>
        <w:rPr>
          <w:b/>
          <w:sz w:val="80"/>
          <w:szCs w:val="80"/>
          <w:u w:val="single"/>
        </w:rPr>
      </w:pPr>
      <w:r w:rsidRPr="00053A01">
        <w:rPr>
          <w:b/>
          <w:sz w:val="80"/>
          <w:szCs w:val="80"/>
          <w:u w:val="single"/>
        </w:rPr>
        <w:t>Assessment Policy</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tbl>
      <w:tblPr>
        <w:tblStyle w:val="TableGrid"/>
        <w:tblpPr w:leftFromText="180" w:rightFromText="180" w:vertAnchor="text" w:horzAnchor="margin" w:tblpXSpec="center" w:tblpY="19"/>
        <w:tblW w:w="8632" w:type="dxa"/>
        <w:tblInd w:w="0" w:type="dxa"/>
        <w:tblCellMar>
          <w:top w:w="19" w:type="dxa"/>
          <w:left w:w="108" w:type="dxa"/>
          <w:right w:w="94" w:type="dxa"/>
        </w:tblCellMar>
        <w:tblLook w:val="04A0" w:firstRow="1" w:lastRow="0" w:firstColumn="1" w:lastColumn="0" w:noHBand="0" w:noVBand="1"/>
      </w:tblPr>
      <w:tblGrid>
        <w:gridCol w:w="1447"/>
        <w:gridCol w:w="1952"/>
        <w:gridCol w:w="972"/>
        <w:gridCol w:w="4261"/>
      </w:tblGrid>
      <w:tr w:rsidR="005C074F"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ind w:right="16"/>
              <w:jc w:val="center"/>
            </w:pPr>
            <w:r w:rsidRPr="00D03447">
              <w:rPr>
                <w:rFonts w:eastAsia="Calibri"/>
                <w:b/>
              </w:rPr>
              <w:t xml:space="preserve">Version and Date </w:t>
            </w:r>
          </w:p>
        </w:tc>
        <w:tc>
          <w:tcPr>
            <w:tcW w:w="5233"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ind w:right="13"/>
              <w:jc w:val="center"/>
            </w:pPr>
            <w:r w:rsidRPr="00D03447">
              <w:rPr>
                <w:rFonts w:eastAsia="Calibri"/>
                <w:b/>
              </w:rPr>
              <w:t xml:space="preserve">Action / Notes </w:t>
            </w:r>
          </w:p>
        </w:tc>
      </w:tr>
      <w:tr w:rsidR="005C074F" w:rsidRPr="00D03447" w:rsidTr="007A1197">
        <w:trPr>
          <w:trHeight w:val="278"/>
        </w:trPr>
        <w:tc>
          <w:tcPr>
            <w:tcW w:w="1447" w:type="dxa"/>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ind w:right="15"/>
              <w:jc w:val="center"/>
            </w:pPr>
            <w:r w:rsidRPr="00D03447">
              <w:rPr>
                <w:rFonts w:eastAsia="Calibri"/>
              </w:rPr>
              <w:t xml:space="preserve">1.0 </w:t>
            </w:r>
          </w:p>
        </w:tc>
        <w:tc>
          <w:tcPr>
            <w:tcW w:w="1952" w:type="dxa"/>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ind w:right="137"/>
              <w:jc w:val="center"/>
            </w:pPr>
            <w:r>
              <w:rPr>
                <w:rFonts w:eastAsia="Calibri"/>
              </w:rPr>
              <w:t>March 2020</w:t>
            </w:r>
            <w:r w:rsidRPr="00D03447">
              <w:rPr>
                <w:rFonts w:eastAsia="Calibri"/>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after="160" w:line="259" w:lineRule="auto"/>
            </w:pPr>
          </w:p>
        </w:tc>
      </w:tr>
      <w:tr w:rsidR="005C074F" w:rsidRPr="00D03447" w:rsidTr="007A1197">
        <w:trPr>
          <w:trHeight w:val="252"/>
        </w:trPr>
        <w:tc>
          <w:tcPr>
            <w:tcW w:w="1447" w:type="dxa"/>
            <w:tcBorders>
              <w:top w:val="single" w:sz="4" w:space="0" w:color="000000"/>
              <w:left w:val="single" w:sz="4" w:space="0" w:color="000000"/>
              <w:bottom w:val="double" w:sz="4" w:space="0" w:color="000000"/>
              <w:right w:val="single" w:sz="4" w:space="0" w:color="000000"/>
            </w:tcBorders>
          </w:tcPr>
          <w:p w:rsidR="005C074F" w:rsidRPr="00D03447" w:rsidRDefault="00893A41" w:rsidP="00893A41">
            <w:pPr>
              <w:spacing w:after="160" w:line="259" w:lineRule="auto"/>
              <w:jc w:val="center"/>
            </w:pPr>
            <w:r>
              <w:t>2.0</w:t>
            </w:r>
          </w:p>
        </w:tc>
        <w:tc>
          <w:tcPr>
            <w:tcW w:w="1952" w:type="dxa"/>
            <w:tcBorders>
              <w:top w:val="single" w:sz="4" w:space="0" w:color="000000"/>
              <w:left w:val="single" w:sz="4" w:space="0" w:color="000000"/>
              <w:bottom w:val="double" w:sz="4" w:space="0" w:color="000000"/>
              <w:right w:val="single" w:sz="4" w:space="0" w:color="000000"/>
            </w:tcBorders>
          </w:tcPr>
          <w:p w:rsidR="005C074F" w:rsidRPr="00D03447" w:rsidRDefault="00893A41" w:rsidP="00893A41">
            <w:pPr>
              <w:spacing w:after="160" w:line="259" w:lineRule="auto"/>
              <w:jc w:val="center"/>
            </w:pPr>
            <w:r>
              <w:t>March 2021</w:t>
            </w:r>
          </w:p>
        </w:tc>
        <w:tc>
          <w:tcPr>
            <w:tcW w:w="5233" w:type="dxa"/>
            <w:gridSpan w:val="2"/>
            <w:tcBorders>
              <w:top w:val="single" w:sz="4" w:space="0" w:color="000000"/>
              <w:left w:val="single" w:sz="4" w:space="0" w:color="000000"/>
              <w:bottom w:val="double" w:sz="4" w:space="0" w:color="000000"/>
              <w:right w:val="single" w:sz="4" w:space="0" w:color="000000"/>
            </w:tcBorders>
          </w:tcPr>
          <w:p w:rsidR="005C074F" w:rsidRPr="00D03447" w:rsidRDefault="005C074F" w:rsidP="007A1197">
            <w:pPr>
              <w:spacing w:after="160" w:line="259" w:lineRule="auto"/>
            </w:pPr>
          </w:p>
        </w:tc>
      </w:tr>
      <w:tr w:rsidR="005C074F" w:rsidRPr="00D03447" w:rsidTr="007A1197">
        <w:trPr>
          <w:trHeight w:val="250"/>
        </w:trPr>
        <w:tc>
          <w:tcPr>
            <w:tcW w:w="3399" w:type="dxa"/>
            <w:gridSpan w:val="2"/>
            <w:tcBorders>
              <w:top w:val="doub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pPr>
            <w:r w:rsidRPr="00D03447">
              <w:rPr>
                <w:rFonts w:eastAsia="Calibri"/>
                <w:b/>
              </w:rPr>
              <w:t xml:space="preserve">Policy </w:t>
            </w:r>
            <w:proofErr w:type="gramStart"/>
            <w:r w:rsidRPr="00D03447">
              <w:rPr>
                <w:rFonts w:eastAsia="Calibri"/>
                <w:b/>
              </w:rPr>
              <w:t>Reviewed :</w:t>
            </w:r>
            <w:proofErr w:type="gramEnd"/>
            <w:r w:rsidRPr="00D03447">
              <w:rPr>
                <w:rFonts w:eastAsia="Calibri"/>
                <w:b/>
              </w:rPr>
              <w:t xml:space="preserve"> </w:t>
            </w:r>
          </w:p>
        </w:tc>
        <w:tc>
          <w:tcPr>
            <w:tcW w:w="5233" w:type="dxa"/>
            <w:gridSpan w:val="2"/>
            <w:tcBorders>
              <w:top w:val="double" w:sz="4" w:space="0" w:color="000000"/>
              <w:left w:val="single" w:sz="4" w:space="0" w:color="000000"/>
              <w:bottom w:val="single" w:sz="4" w:space="0" w:color="000000"/>
              <w:right w:val="single" w:sz="4" w:space="0" w:color="000000"/>
            </w:tcBorders>
          </w:tcPr>
          <w:p w:rsidR="005C074F" w:rsidRPr="00D03447" w:rsidRDefault="00893A41" w:rsidP="007A1197">
            <w:pPr>
              <w:spacing w:line="259" w:lineRule="auto"/>
            </w:pPr>
            <w:r>
              <w:t>March 2021</w:t>
            </w:r>
          </w:p>
        </w:tc>
      </w:tr>
      <w:tr w:rsidR="005C074F"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pPr>
            <w:r w:rsidRPr="00D03447">
              <w:rPr>
                <w:rFonts w:eastAsia="Calibri"/>
                <w:b/>
              </w:rPr>
              <w:t xml:space="preserve">Policy Review </w:t>
            </w:r>
            <w:proofErr w:type="gramStart"/>
            <w:r w:rsidRPr="00D03447">
              <w:rPr>
                <w:rFonts w:eastAsia="Calibri"/>
                <w:b/>
              </w:rPr>
              <w:t>Frequency :</w:t>
            </w:r>
            <w:proofErr w:type="gramEnd"/>
            <w:r w:rsidRPr="00D03447">
              <w:rPr>
                <w:rFonts w:eastAsia="Calibri"/>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pPr>
            <w:r w:rsidRPr="00D03447">
              <w:rPr>
                <w:rFonts w:eastAsia="Calibri"/>
              </w:rPr>
              <w:t xml:space="preserve">Annual </w:t>
            </w:r>
          </w:p>
        </w:tc>
      </w:tr>
      <w:tr w:rsidR="005C074F" w:rsidRPr="00D03447" w:rsidTr="007A1197">
        <w:trPr>
          <w:trHeight w:val="278"/>
        </w:trPr>
        <w:tc>
          <w:tcPr>
            <w:tcW w:w="3399"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pPr>
            <w:r w:rsidRPr="00D03447">
              <w:rPr>
                <w:rFonts w:eastAsia="Calibri"/>
                <w:b/>
              </w:rPr>
              <w:t xml:space="preserve">Next </w:t>
            </w:r>
            <w:proofErr w:type="gramStart"/>
            <w:r w:rsidRPr="00D03447">
              <w:rPr>
                <w:rFonts w:eastAsia="Calibri"/>
                <w:b/>
              </w:rPr>
              <w:t>Review :</w:t>
            </w:r>
            <w:proofErr w:type="gramEnd"/>
            <w:r w:rsidRPr="00D03447">
              <w:rPr>
                <w:rFonts w:eastAsia="Calibri"/>
                <w:b/>
              </w:rPr>
              <w:t xml:space="preserve"> </w:t>
            </w:r>
          </w:p>
        </w:tc>
        <w:tc>
          <w:tcPr>
            <w:tcW w:w="5233" w:type="dxa"/>
            <w:gridSpan w:val="2"/>
            <w:tcBorders>
              <w:top w:val="single" w:sz="4" w:space="0" w:color="000000"/>
              <w:left w:val="single" w:sz="4" w:space="0" w:color="000000"/>
              <w:bottom w:val="single" w:sz="4" w:space="0" w:color="000000"/>
              <w:right w:val="single" w:sz="4" w:space="0" w:color="000000"/>
            </w:tcBorders>
          </w:tcPr>
          <w:p w:rsidR="005C074F" w:rsidRPr="00D03447" w:rsidRDefault="005C074F" w:rsidP="007A1197">
            <w:pPr>
              <w:spacing w:line="259" w:lineRule="auto"/>
            </w:pPr>
            <w:r>
              <w:rPr>
                <w:rFonts w:eastAsia="Calibri"/>
              </w:rPr>
              <w:t>March 20</w:t>
            </w:r>
            <w:r w:rsidR="00893A41">
              <w:rPr>
                <w:rFonts w:eastAsia="Calibri"/>
              </w:rPr>
              <w:t>22</w:t>
            </w:r>
          </w:p>
        </w:tc>
      </w:tr>
      <w:tr w:rsidR="005C074F" w:rsidRPr="00D03447" w:rsidTr="007A1197">
        <w:trPr>
          <w:trHeight w:val="1688"/>
        </w:trPr>
        <w:tc>
          <w:tcPr>
            <w:tcW w:w="4371" w:type="dxa"/>
            <w:gridSpan w:val="3"/>
            <w:tcBorders>
              <w:top w:val="single" w:sz="4" w:space="0" w:color="000000"/>
              <w:left w:val="single" w:sz="4" w:space="0" w:color="000000"/>
              <w:bottom w:val="single" w:sz="4" w:space="0" w:color="000000"/>
              <w:right w:val="single" w:sz="4" w:space="0" w:color="000000"/>
            </w:tcBorders>
          </w:tcPr>
          <w:p w:rsidR="005C074F" w:rsidRDefault="005C074F" w:rsidP="007A1197">
            <w:pPr>
              <w:spacing w:line="259" w:lineRule="auto"/>
              <w:rPr>
                <w:rFonts w:eastAsia="Calibri"/>
                <w:b/>
              </w:rPr>
            </w:pPr>
            <w:r w:rsidRPr="00D03447">
              <w:rPr>
                <w:rFonts w:eastAsia="Calibri"/>
                <w:b/>
              </w:rPr>
              <w:t xml:space="preserve">Signature of </w:t>
            </w:r>
            <w:proofErr w:type="gramStart"/>
            <w:r w:rsidRPr="00D03447">
              <w:rPr>
                <w:rFonts w:eastAsia="Calibri"/>
                <w:b/>
              </w:rPr>
              <w:t>Headteacher :</w:t>
            </w:r>
            <w:proofErr w:type="gramEnd"/>
            <w:r w:rsidRPr="00D03447">
              <w:rPr>
                <w:rFonts w:eastAsia="Calibri"/>
                <w:b/>
              </w:rPr>
              <w:t xml:space="preserve"> </w:t>
            </w:r>
          </w:p>
          <w:p w:rsidR="009550DD" w:rsidRPr="00D03447" w:rsidRDefault="009550DD" w:rsidP="007A1197">
            <w:pPr>
              <w:spacing w:line="259" w:lineRule="auto"/>
            </w:pPr>
            <w:r>
              <w:rPr>
                <w:noProof/>
              </w:rPr>
              <w:drawing>
                <wp:inline distT="0" distB="0" distL="0" distR="0">
                  <wp:extent cx="2407056" cy="7890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C Signature.jpg"/>
                          <pic:cNvPicPr/>
                        </pic:nvPicPr>
                        <pic:blipFill>
                          <a:blip r:embed="rId9">
                            <a:extLst>
                              <a:ext uri="{28A0092B-C50C-407E-A947-70E740481C1C}">
                                <a14:useLocalDpi xmlns:a14="http://schemas.microsoft.com/office/drawing/2010/main" val="0"/>
                              </a:ext>
                            </a:extLst>
                          </a:blip>
                          <a:stretch>
                            <a:fillRect/>
                          </a:stretch>
                        </pic:blipFill>
                        <pic:spPr>
                          <a:xfrm>
                            <a:off x="0" y="0"/>
                            <a:ext cx="2420644" cy="793544"/>
                          </a:xfrm>
                          <a:prstGeom prst="rect">
                            <a:avLst/>
                          </a:prstGeom>
                        </pic:spPr>
                      </pic:pic>
                    </a:graphicData>
                  </a:graphic>
                </wp:inline>
              </w:drawing>
            </w:r>
          </w:p>
        </w:tc>
        <w:tc>
          <w:tcPr>
            <w:tcW w:w="4261" w:type="dxa"/>
            <w:tcBorders>
              <w:top w:val="single" w:sz="4" w:space="0" w:color="000000"/>
              <w:left w:val="single" w:sz="4" w:space="0" w:color="000000"/>
              <w:bottom w:val="single" w:sz="4" w:space="0" w:color="000000"/>
              <w:right w:val="single" w:sz="4" w:space="0" w:color="000000"/>
            </w:tcBorders>
          </w:tcPr>
          <w:p w:rsidR="005C074F" w:rsidRDefault="005C074F" w:rsidP="007A1197">
            <w:pPr>
              <w:spacing w:line="259" w:lineRule="auto"/>
              <w:rPr>
                <w:rFonts w:eastAsia="Calibri"/>
                <w:b/>
              </w:rPr>
            </w:pPr>
            <w:r w:rsidRPr="00D03447">
              <w:rPr>
                <w:rFonts w:eastAsia="Calibri"/>
                <w:b/>
              </w:rPr>
              <w:t xml:space="preserve">Signature of Chair of Local Governing </w:t>
            </w:r>
            <w:proofErr w:type="gramStart"/>
            <w:r w:rsidRPr="00D03447">
              <w:rPr>
                <w:rFonts w:eastAsia="Calibri"/>
                <w:b/>
              </w:rPr>
              <w:t>Body :</w:t>
            </w:r>
            <w:proofErr w:type="gramEnd"/>
            <w:r w:rsidRPr="00D03447">
              <w:rPr>
                <w:rFonts w:eastAsia="Calibri"/>
                <w:b/>
              </w:rPr>
              <w:t xml:space="preserve"> </w:t>
            </w:r>
          </w:p>
          <w:p w:rsidR="005C074F" w:rsidRPr="00D03447" w:rsidRDefault="00893A41" w:rsidP="007A1197">
            <w:pPr>
              <w:spacing w:line="259" w:lineRule="auto"/>
            </w:pPr>
            <w:r w:rsidRPr="00C90F91">
              <w:rPr>
                <w:noProof/>
              </w:rPr>
              <w:drawing>
                <wp:inline distT="0" distB="0" distL="0" distR="0" wp14:anchorId="53471D59" wp14:editId="6A3DD14C">
                  <wp:extent cx="1409700" cy="542925"/>
                  <wp:effectExtent l="0" t="0" r="0" b="9525"/>
                  <wp:docPr id="2" name="Picture 2" descr="C.Dav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av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542925"/>
                          </a:xfrm>
                          <a:prstGeom prst="rect">
                            <a:avLst/>
                          </a:prstGeom>
                          <a:noFill/>
                          <a:ln>
                            <a:noFill/>
                          </a:ln>
                        </pic:spPr>
                      </pic:pic>
                    </a:graphicData>
                  </a:graphic>
                </wp:inline>
              </w:drawing>
            </w:r>
          </w:p>
        </w:tc>
      </w:tr>
    </w:tbl>
    <w:p w:rsidR="00DF7E22" w:rsidRDefault="00E95269">
      <w:pPr>
        <w:spacing w:after="0"/>
        <w:jc w:val="center"/>
        <w:rPr>
          <w:rFonts w:eastAsia="Adobe Heiti Std R"/>
        </w:rPr>
      </w:pPr>
      <w:r>
        <w:t xml:space="preserve"> </w:t>
      </w:r>
    </w:p>
    <w:p w:rsidR="00DF7E22" w:rsidRDefault="00DF7E22">
      <w:pPr>
        <w:spacing w:after="0"/>
        <w:jc w:val="center"/>
        <w:rPr>
          <w:rFonts w:eastAsia="Adobe Heiti Std R"/>
        </w:rPr>
      </w:pPr>
    </w:p>
    <w:p w:rsidR="00DF7E22" w:rsidRDefault="00DF7E22">
      <w:pPr>
        <w:spacing w:after="27"/>
        <w:ind w:left="0" w:right="0" w:firstLine="0"/>
        <w:jc w:val="left"/>
      </w:pP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r>
        <w:rPr>
          <w:b/>
          <w:color w:val="999999"/>
          <w:sz w:val="24"/>
        </w:rPr>
        <w:t xml:space="preserve"> </w:t>
      </w:r>
    </w:p>
    <w:p w:rsidR="00DF7E22" w:rsidRDefault="00E95269">
      <w:pPr>
        <w:spacing w:after="27"/>
        <w:ind w:left="0" w:right="0" w:firstLine="0"/>
        <w:jc w:val="left"/>
      </w:pPr>
      <w:r>
        <w:rPr>
          <w:b/>
        </w:rPr>
        <w:t xml:space="preserve"> </w:t>
      </w:r>
    </w:p>
    <w:p w:rsidR="00DF7E22" w:rsidRDefault="00E95269">
      <w:pPr>
        <w:spacing w:after="0" w:line="427" w:lineRule="auto"/>
        <w:ind w:left="0" w:right="9909" w:firstLine="0"/>
        <w:jc w:val="left"/>
      </w:pPr>
      <w:r>
        <w:rPr>
          <w:b/>
        </w:rPr>
        <w:t xml:space="preserve"> </w:t>
      </w:r>
      <w:r>
        <w:t xml:space="preserve"> </w:t>
      </w:r>
      <w:bookmarkStart w:id="1" w:name="_GoBack"/>
      <w:bookmarkEnd w:id="1"/>
    </w:p>
    <w:bookmarkEnd w:id="0"/>
    <w:p w:rsidR="00DF7E22" w:rsidRDefault="00DF7E22">
      <w:pPr>
        <w:pStyle w:val="Heading1"/>
        <w:ind w:left="-5"/>
      </w:pPr>
    </w:p>
    <w:p w:rsidR="00DF7E22" w:rsidRDefault="00E95269">
      <w:pPr>
        <w:pStyle w:val="Heading1"/>
        <w:ind w:left="-5"/>
      </w:pPr>
      <w:r>
        <w:t>What is Controlled Assessment</w:t>
      </w:r>
      <w:r>
        <w:rPr>
          <w:u w:val="none"/>
        </w:rPr>
        <w:t xml:space="preserve"> </w:t>
      </w:r>
    </w:p>
    <w:p w:rsidR="00DF7E22" w:rsidRDefault="00E95269">
      <w:pPr>
        <w:spacing w:after="27"/>
        <w:ind w:left="0" w:right="0" w:firstLine="0"/>
        <w:jc w:val="left"/>
      </w:pPr>
      <w:r>
        <w:rPr>
          <w:b/>
        </w:rPr>
        <w:t xml:space="preserve"> </w:t>
      </w:r>
    </w:p>
    <w:p w:rsidR="00DF7E22" w:rsidRDefault="00E95269">
      <w:pPr>
        <w:ind w:right="0"/>
      </w:pPr>
      <w:r>
        <w:t xml:space="preserve">Controlled Assessment is a form of internal assessment/moderation where the control levels for each assessment stage (task setting, task taking and task marking) have been defined by the Department for Education.  Each stage has a level of control (high, medium or low) to ensure reliability and authenticity and to make assessments more manageable for teachers and students. </w:t>
      </w:r>
    </w:p>
    <w:p w:rsidR="00DF7E22" w:rsidRDefault="00E95269">
      <w:pPr>
        <w:spacing w:after="27"/>
        <w:ind w:left="0" w:right="0" w:firstLine="0"/>
        <w:jc w:val="left"/>
      </w:pPr>
      <w:r>
        <w:t xml:space="preserve">  </w:t>
      </w:r>
    </w:p>
    <w:p w:rsidR="00DF7E22" w:rsidRDefault="00E95269">
      <w:pPr>
        <w:spacing w:after="27"/>
        <w:ind w:left="0" w:right="0" w:firstLine="0"/>
        <w:jc w:val="left"/>
      </w:pPr>
      <w:r>
        <w:rPr>
          <w:u w:val="single" w:color="000000"/>
        </w:rPr>
        <w:t>OUTLINE</w:t>
      </w:r>
      <w:r>
        <w:t xml:space="preserve"> </w:t>
      </w:r>
    </w:p>
    <w:p w:rsidR="00DF7E22" w:rsidRDefault="00E95269">
      <w:pPr>
        <w:ind w:right="0"/>
      </w:pPr>
      <w:r>
        <w:t xml:space="preserve">Departments </w:t>
      </w:r>
      <w:proofErr w:type="gramStart"/>
      <w:r>
        <w:t>make arrangements</w:t>
      </w:r>
      <w:proofErr w:type="gramEnd"/>
      <w:r>
        <w:t xml:space="preserve"> to obtain assessment tasks and make appropriate arrangements for the time and venue. Controlled Assessment may take place during timetabled class time. </w:t>
      </w:r>
    </w:p>
    <w:p w:rsidR="00DF7E22" w:rsidRDefault="00E95269">
      <w:pPr>
        <w:ind w:right="0"/>
      </w:pPr>
      <w:r>
        <w:t xml:space="preserve">There are two control levels of marking: </w:t>
      </w:r>
    </w:p>
    <w:p w:rsidR="00DF7E22" w:rsidRDefault="00E95269">
      <w:pPr>
        <w:spacing w:after="119"/>
        <w:ind w:left="1090" w:right="0"/>
      </w:pPr>
      <w:r>
        <w:rPr>
          <w:rFonts w:ascii="MS Gothic" w:eastAsia="MS Gothic" w:hAnsi="MS Gothic" w:cs="MS Gothic"/>
        </w:rPr>
        <w:t xml:space="preserve">❖ </w:t>
      </w:r>
      <w:proofErr w:type="gramStart"/>
      <w:r>
        <w:t>Medium :</w:t>
      </w:r>
      <w:proofErr w:type="gramEnd"/>
      <w:r>
        <w:t xml:space="preserve"> work is assessed by the teacher and externally moderated by the exam board </w:t>
      </w:r>
      <w:r>
        <w:rPr>
          <w:rFonts w:ascii="MS Gothic" w:eastAsia="MS Gothic" w:hAnsi="MS Gothic" w:cs="MS Gothic"/>
        </w:rPr>
        <w:t xml:space="preserve">❖ </w:t>
      </w:r>
      <w:r>
        <w:t xml:space="preserve">High : Work is  marked by the exam boards. </w:t>
      </w:r>
      <w:r>
        <w:tab/>
        <w:t xml:space="preserve"> </w:t>
      </w:r>
    </w:p>
    <w:p w:rsidR="00DF7E22" w:rsidRDefault="00E95269">
      <w:pPr>
        <w:spacing w:after="147"/>
        <w:ind w:left="0" w:right="0" w:firstLine="0"/>
        <w:jc w:val="left"/>
      </w:pPr>
      <w:r>
        <w:t xml:space="preserve"> </w:t>
      </w:r>
    </w:p>
    <w:p w:rsidR="00DF7E22" w:rsidRDefault="00E95269">
      <w:pPr>
        <w:numPr>
          <w:ilvl w:val="0"/>
          <w:numId w:val="1"/>
        </w:numPr>
        <w:ind w:right="0" w:hanging="360"/>
      </w:pPr>
      <w:r>
        <w:t xml:space="preserve">The Exams Officer should be notified when a </w:t>
      </w:r>
      <w:proofErr w:type="gramStart"/>
      <w:r>
        <w:t>high level</w:t>
      </w:r>
      <w:proofErr w:type="gramEnd"/>
      <w:r>
        <w:t xml:space="preserve"> assessment is taking place. </w:t>
      </w:r>
    </w:p>
    <w:p w:rsidR="00DF7E22" w:rsidRDefault="00E95269">
      <w:pPr>
        <w:numPr>
          <w:ilvl w:val="0"/>
          <w:numId w:val="1"/>
        </w:numPr>
        <w:ind w:right="0" w:hanging="360"/>
      </w:pPr>
      <w:r>
        <w:t xml:space="preserve">Departments must store student material securely, or arrange for them to be stored with the exams officer. </w:t>
      </w:r>
    </w:p>
    <w:p w:rsidR="00DF7E22" w:rsidRDefault="00E95269">
      <w:pPr>
        <w:numPr>
          <w:ilvl w:val="0"/>
          <w:numId w:val="1"/>
        </w:numPr>
        <w:ind w:right="0" w:hanging="360"/>
      </w:pPr>
      <w:r>
        <w:t xml:space="preserve">There must be standardisation of marking where teacher assessed work involves more than one teacher. </w:t>
      </w:r>
    </w:p>
    <w:p w:rsidR="00DF7E22" w:rsidRDefault="00E95269">
      <w:pPr>
        <w:numPr>
          <w:ilvl w:val="0"/>
          <w:numId w:val="1"/>
        </w:numPr>
        <w:ind w:right="0" w:hanging="360"/>
      </w:pPr>
      <w:r>
        <w:t xml:space="preserve">The exams officer must be informed in the case of malpractice. </w:t>
      </w:r>
    </w:p>
    <w:p w:rsidR="00DF7E22" w:rsidRDefault="00E95269">
      <w:pPr>
        <w:numPr>
          <w:ilvl w:val="0"/>
          <w:numId w:val="1"/>
        </w:numPr>
        <w:ind w:right="0" w:hanging="360"/>
      </w:pPr>
      <w:r>
        <w:t xml:space="preserve">Student’s work lost within the school must be reported to the exams officer. </w:t>
      </w:r>
    </w:p>
    <w:p w:rsidR="00DF7E22" w:rsidRDefault="00E95269">
      <w:pPr>
        <w:numPr>
          <w:ilvl w:val="0"/>
          <w:numId w:val="1"/>
        </w:numPr>
        <w:ind w:right="0" w:hanging="360"/>
      </w:pPr>
      <w:r>
        <w:t xml:space="preserve">Teachers and candidates must sign appropriate authentication forms. </w:t>
      </w:r>
    </w:p>
    <w:p w:rsidR="00DF7E22" w:rsidRDefault="00E95269">
      <w:pPr>
        <w:numPr>
          <w:ilvl w:val="0"/>
          <w:numId w:val="1"/>
        </w:numPr>
        <w:ind w:right="0" w:hanging="360"/>
      </w:pPr>
      <w:r>
        <w:t xml:space="preserve">Teachers must liaise with the </w:t>
      </w:r>
      <w:proofErr w:type="spellStart"/>
      <w:r>
        <w:t>SENCo</w:t>
      </w:r>
      <w:proofErr w:type="spellEnd"/>
      <w:r>
        <w:t xml:space="preserve"> for access arrangements  </w:t>
      </w:r>
    </w:p>
    <w:p w:rsidR="00DF7E22" w:rsidRDefault="00E95269">
      <w:pPr>
        <w:numPr>
          <w:ilvl w:val="0"/>
          <w:numId w:val="1"/>
        </w:numPr>
        <w:ind w:right="0" w:hanging="360"/>
      </w:pPr>
      <w:r>
        <w:t xml:space="preserve">For long periods of student absence, the exams officer must be informed so as to apply for Special Consideration. </w:t>
      </w:r>
    </w:p>
    <w:p w:rsidR="00DF7E22" w:rsidRDefault="00E95269">
      <w:pPr>
        <w:numPr>
          <w:ilvl w:val="0"/>
          <w:numId w:val="1"/>
        </w:numPr>
        <w:ind w:right="0" w:hanging="360"/>
      </w:pPr>
      <w:r>
        <w:t xml:space="preserve">All collaborative work by students must be written up in the student’s own words. </w:t>
      </w:r>
    </w:p>
    <w:p w:rsidR="00DF7E22" w:rsidRDefault="00E95269">
      <w:pPr>
        <w:numPr>
          <w:ilvl w:val="0"/>
          <w:numId w:val="1"/>
        </w:numPr>
        <w:ind w:right="0" w:hanging="360"/>
      </w:pPr>
      <w:r>
        <w:t xml:space="preserve">Assessment marks must be submitted before the relevant deadlines. </w:t>
      </w:r>
    </w:p>
    <w:p w:rsidR="00DF7E22" w:rsidRDefault="00E95269">
      <w:pPr>
        <w:numPr>
          <w:ilvl w:val="0"/>
          <w:numId w:val="1"/>
        </w:numPr>
        <w:spacing w:after="154"/>
        <w:ind w:right="0" w:hanging="360"/>
      </w:pPr>
      <w:r>
        <w:t xml:space="preserve">Assistance must comply with the limits set out in the Specification. </w:t>
      </w:r>
    </w:p>
    <w:p w:rsidR="00DF7E22" w:rsidRDefault="00E95269">
      <w:pPr>
        <w:spacing w:after="147"/>
        <w:ind w:left="0" w:right="0" w:firstLine="0"/>
        <w:jc w:val="left"/>
      </w:pPr>
      <w:r>
        <w:t xml:space="preserve">  </w:t>
      </w:r>
    </w:p>
    <w:p w:rsidR="00DF7E22" w:rsidRDefault="00E95269">
      <w:pPr>
        <w:spacing w:after="147"/>
        <w:ind w:right="0"/>
      </w:pPr>
      <w:r>
        <w:t xml:space="preserve">Departments to keep a record of: </w:t>
      </w:r>
    </w:p>
    <w:p w:rsidR="00DF7E22" w:rsidRDefault="00E95269">
      <w:pPr>
        <w:numPr>
          <w:ilvl w:val="0"/>
          <w:numId w:val="2"/>
        </w:numPr>
        <w:spacing w:after="147"/>
        <w:ind w:right="0" w:hanging="366"/>
      </w:pPr>
      <w:r>
        <w:t xml:space="preserve">Assessment title and date and time of assessment </w:t>
      </w:r>
    </w:p>
    <w:p w:rsidR="00DF7E22" w:rsidRDefault="00E95269">
      <w:pPr>
        <w:numPr>
          <w:ilvl w:val="0"/>
          <w:numId w:val="2"/>
        </w:numPr>
        <w:spacing w:after="147"/>
        <w:ind w:right="0" w:hanging="366"/>
      </w:pPr>
      <w:r>
        <w:t xml:space="preserve">Supervising teacher’s name </w:t>
      </w:r>
    </w:p>
    <w:p w:rsidR="00DF7E22" w:rsidRDefault="00E95269">
      <w:pPr>
        <w:numPr>
          <w:ilvl w:val="0"/>
          <w:numId w:val="2"/>
        </w:numPr>
        <w:ind w:right="0" w:hanging="366"/>
      </w:pPr>
      <w:r>
        <w:t xml:space="preserve">Register of candidates </w:t>
      </w:r>
    </w:p>
    <w:p w:rsidR="00DF7E22" w:rsidRDefault="00E95269">
      <w:pPr>
        <w:spacing w:after="27"/>
        <w:ind w:left="0" w:right="0" w:firstLine="0"/>
        <w:jc w:val="left"/>
      </w:pPr>
      <w:r>
        <w:t xml:space="preserve">  </w:t>
      </w:r>
    </w:p>
    <w:p w:rsidR="00DF7E22" w:rsidRDefault="00E95269">
      <w:pPr>
        <w:spacing w:after="27"/>
        <w:ind w:left="0" w:right="0" w:firstLine="0"/>
        <w:jc w:val="left"/>
      </w:pPr>
      <w:r>
        <w:rPr>
          <w:b/>
        </w:rPr>
        <w:t xml:space="preserve"> </w:t>
      </w:r>
    </w:p>
    <w:p w:rsidR="00DF7E22" w:rsidRDefault="00E95269">
      <w:pPr>
        <w:spacing w:after="27"/>
        <w:ind w:left="0" w:right="0" w:firstLine="0"/>
        <w:jc w:val="left"/>
        <w:rPr>
          <w:b/>
        </w:rPr>
      </w:pPr>
      <w:r>
        <w:rPr>
          <w:b/>
        </w:rPr>
        <w:t xml:space="preserve"> </w:t>
      </w:r>
    </w:p>
    <w:p w:rsidR="00DF7E22" w:rsidRDefault="00DF7E22">
      <w:pPr>
        <w:spacing w:after="27"/>
        <w:ind w:left="0" w:right="0" w:firstLine="0"/>
        <w:jc w:val="left"/>
      </w:pPr>
    </w:p>
    <w:p w:rsidR="00DF7E22" w:rsidRDefault="00DF7E22">
      <w:pPr>
        <w:spacing w:after="27"/>
        <w:ind w:left="0" w:right="0" w:firstLine="0"/>
        <w:jc w:val="left"/>
      </w:pPr>
    </w:p>
    <w:p w:rsidR="00DF7E22" w:rsidRDefault="00DF7E22">
      <w:pPr>
        <w:spacing w:after="27"/>
        <w:ind w:left="0" w:right="0" w:firstLine="0"/>
        <w:jc w:val="left"/>
      </w:pPr>
    </w:p>
    <w:p w:rsidR="00DF7E22" w:rsidRDefault="00E95269">
      <w:pPr>
        <w:spacing w:after="27"/>
        <w:ind w:left="0" w:right="0" w:firstLine="0"/>
        <w:jc w:val="left"/>
      </w:pPr>
      <w:r>
        <w:rPr>
          <w:b/>
        </w:rPr>
        <w:t xml:space="preserve"> </w:t>
      </w:r>
    </w:p>
    <w:p w:rsidR="00DF7E22" w:rsidRDefault="00E95269">
      <w:pPr>
        <w:pStyle w:val="Heading1"/>
        <w:ind w:left="-5"/>
      </w:pPr>
      <w:r>
        <w:lastRenderedPageBreak/>
        <w:t>STAFF RESPONSIBILITIES</w:t>
      </w:r>
      <w:r>
        <w:rPr>
          <w:u w:val="none"/>
        </w:rPr>
        <w:t xml:space="preserve"> </w:t>
      </w:r>
    </w:p>
    <w:p w:rsidR="00DF7E22" w:rsidRDefault="00E95269">
      <w:pPr>
        <w:spacing w:after="0"/>
        <w:ind w:left="0" w:right="0" w:firstLine="0"/>
        <w:jc w:val="left"/>
      </w:pPr>
      <w:r>
        <w:rPr>
          <w:b/>
        </w:rPr>
        <w:t xml:space="preserve"> </w:t>
      </w:r>
    </w:p>
    <w:p w:rsidR="00DF7E22" w:rsidRDefault="00E95269">
      <w:pPr>
        <w:pStyle w:val="Heading2"/>
        <w:ind w:left="-5"/>
      </w:pPr>
      <w:r>
        <w:t xml:space="preserve">Senior Leadership Team </w:t>
      </w:r>
    </w:p>
    <w:p w:rsidR="00DF7E22" w:rsidRDefault="00E95269">
      <w:pPr>
        <w:numPr>
          <w:ilvl w:val="0"/>
          <w:numId w:val="3"/>
        </w:numPr>
        <w:ind w:right="0" w:hanging="360"/>
      </w:pPr>
      <w:r>
        <w:t xml:space="preserve">Accountable for the safe and secure conduct of Controlled Assessment and compliance with JCQ guidelines and awarding bodies subject-specific instructions. </w:t>
      </w:r>
    </w:p>
    <w:p w:rsidR="00DF7E22" w:rsidRDefault="00E95269">
      <w:pPr>
        <w:numPr>
          <w:ilvl w:val="0"/>
          <w:numId w:val="3"/>
        </w:numPr>
        <w:ind w:right="0" w:hanging="360"/>
      </w:pPr>
      <w:r>
        <w:t xml:space="preserve">Consult with heads of departments to ensure that Controlled Assessments are spread throughout the KS4 academic years. </w:t>
      </w:r>
    </w:p>
    <w:p w:rsidR="00DF7E22" w:rsidRDefault="00E95269">
      <w:pPr>
        <w:numPr>
          <w:ilvl w:val="0"/>
          <w:numId w:val="3"/>
        </w:numPr>
        <w:spacing w:after="2" w:line="287" w:lineRule="auto"/>
        <w:ind w:right="0" w:hanging="360"/>
      </w:pPr>
      <w:r>
        <w:t xml:space="preserve">Map overall resource management requirements for the year.  As part of this resolve: clashes/problems arising over the timing or operation of Controlled Assessment; issues arising from the need for particular facilities (rooms/IT networks/time out of school etc.) </w:t>
      </w:r>
    </w:p>
    <w:p w:rsidR="00DF7E22" w:rsidRDefault="00E95269">
      <w:pPr>
        <w:numPr>
          <w:ilvl w:val="0"/>
          <w:numId w:val="3"/>
        </w:numPr>
        <w:spacing w:after="2" w:line="287" w:lineRule="auto"/>
        <w:ind w:right="0" w:hanging="360"/>
      </w:pPr>
      <w:r>
        <w:t xml:space="preserve">Ensure that all staff has a calendar of events. </w:t>
      </w:r>
    </w:p>
    <w:p w:rsidR="00DF7E22" w:rsidRDefault="00E95269">
      <w:pPr>
        <w:spacing w:after="27"/>
        <w:ind w:left="0" w:right="0" w:firstLine="0"/>
        <w:jc w:val="left"/>
      </w:pPr>
      <w:r>
        <w:t xml:space="preserve"> </w:t>
      </w:r>
    </w:p>
    <w:p w:rsidR="00DF7E22" w:rsidRDefault="00E95269">
      <w:pPr>
        <w:pStyle w:val="Heading2"/>
        <w:ind w:left="-5"/>
      </w:pPr>
      <w:r>
        <w:t xml:space="preserve">Curriculum Team Leadership </w:t>
      </w:r>
    </w:p>
    <w:p w:rsidR="00DF7E22" w:rsidRDefault="00E95269">
      <w:pPr>
        <w:numPr>
          <w:ilvl w:val="0"/>
          <w:numId w:val="4"/>
        </w:numPr>
        <w:ind w:right="0" w:hanging="360"/>
      </w:pPr>
      <w:r>
        <w:t xml:space="preserve">Ensure that there is internal standardisation of marking where more than one teacher/assessor is marking students’ work.  </w:t>
      </w:r>
    </w:p>
    <w:p w:rsidR="00DF7E22" w:rsidRDefault="00E95269">
      <w:pPr>
        <w:numPr>
          <w:ilvl w:val="0"/>
          <w:numId w:val="4"/>
        </w:numPr>
        <w:ind w:right="0" w:hanging="360"/>
      </w:pPr>
      <w:r>
        <w:t xml:space="preserve">Ensure that individual teachers understand their responsibilities with regard to Controlled Assessment and specific awarding body requirements relating to the subject they are assessing. </w:t>
      </w:r>
    </w:p>
    <w:p w:rsidR="00DF7E22" w:rsidRDefault="00E95269">
      <w:pPr>
        <w:numPr>
          <w:ilvl w:val="0"/>
          <w:numId w:val="4"/>
        </w:numPr>
        <w:spacing w:after="2" w:line="287" w:lineRule="auto"/>
        <w:ind w:right="0" w:hanging="360"/>
      </w:pPr>
      <w:r>
        <w:t xml:space="preserve">Where appropriate, develop new assessment tasks or contextualise appropriate sample awarding body assessment tasks in line with awarding body specifications and control requirements. </w:t>
      </w:r>
    </w:p>
    <w:p w:rsidR="00DF7E22" w:rsidRDefault="00E95269">
      <w:pPr>
        <w:spacing w:after="27"/>
        <w:ind w:left="0" w:right="0" w:firstLine="0"/>
        <w:jc w:val="left"/>
      </w:pPr>
      <w:r>
        <w:t xml:space="preserve"> </w:t>
      </w:r>
    </w:p>
    <w:p w:rsidR="00DF7E22" w:rsidRDefault="00E95269">
      <w:pPr>
        <w:pStyle w:val="Heading2"/>
        <w:ind w:left="-5"/>
      </w:pPr>
      <w:r>
        <w:t xml:space="preserve">Teaching Staff </w:t>
      </w:r>
    </w:p>
    <w:p w:rsidR="00DF7E22" w:rsidRDefault="00E95269">
      <w:pPr>
        <w:numPr>
          <w:ilvl w:val="0"/>
          <w:numId w:val="5"/>
        </w:numPr>
        <w:ind w:right="0" w:hanging="421"/>
      </w:pPr>
      <w:r>
        <w:t xml:space="preserve">Inform the exams officer of all unit codes for Controlled Assessment. </w:t>
      </w:r>
    </w:p>
    <w:p w:rsidR="00DF7E22" w:rsidRDefault="00E95269">
      <w:pPr>
        <w:numPr>
          <w:ilvl w:val="0"/>
          <w:numId w:val="5"/>
        </w:numPr>
        <w:ind w:right="0" w:hanging="421"/>
      </w:pPr>
      <w:r>
        <w:t xml:space="preserve">Understand and comply with the general guidelines contained in the JCQ publication Instructions for Conducting Controlled Assessments. </w:t>
      </w:r>
    </w:p>
    <w:p w:rsidR="00DF7E22" w:rsidRDefault="00E95269">
      <w:pPr>
        <w:numPr>
          <w:ilvl w:val="0"/>
          <w:numId w:val="5"/>
        </w:numPr>
        <w:ind w:right="0" w:hanging="421"/>
      </w:pPr>
      <w:r>
        <w:t xml:space="preserve">Understand and comply with the awarding body specifications for conducting Controlled Assessment, including any subject specific instructions, teachers’ notes or additional information from the awarding body. </w:t>
      </w:r>
    </w:p>
    <w:p w:rsidR="00DF7E22" w:rsidRDefault="00E95269">
      <w:pPr>
        <w:numPr>
          <w:ilvl w:val="0"/>
          <w:numId w:val="5"/>
        </w:numPr>
        <w:ind w:right="0" w:hanging="421"/>
      </w:pPr>
      <w:r>
        <w:t xml:space="preserve">Obtain confidential material set by awarding bodies in sufficient time to prepare for assessment/s. </w:t>
      </w:r>
    </w:p>
    <w:p w:rsidR="00DF7E22" w:rsidRDefault="00E95269">
      <w:pPr>
        <w:numPr>
          <w:ilvl w:val="0"/>
          <w:numId w:val="5"/>
        </w:numPr>
        <w:ind w:right="0" w:hanging="421"/>
      </w:pPr>
      <w:r>
        <w:t xml:space="preserve">Ensure that all relevant display material is removed or covered up. </w:t>
      </w:r>
    </w:p>
    <w:p w:rsidR="00DF7E22" w:rsidRDefault="00E95269">
      <w:pPr>
        <w:numPr>
          <w:ilvl w:val="0"/>
          <w:numId w:val="5"/>
        </w:numPr>
        <w:ind w:right="0" w:hanging="421"/>
      </w:pPr>
      <w:r>
        <w:t xml:space="preserve">Ensure that assessment material is stored securely at all times according to arrangements made for secure storage. </w:t>
      </w:r>
    </w:p>
    <w:p w:rsidR="00DF7E22" w:rsidRDefault="00E95269">
      <w:pPr>
        <w:numPr>
          <w:ilvl w:val="0"/>
          <w:numId w:val="5"/>
        </w:numPr>
        <w:ind w:right="0" w:hanging="421"/>
      </w:pPr>
      <w:r>
        <w:t xml:space="preserve">Supervise assessments according to requirements of the specific level of control. </w:t>
      </w:r>
    </w:p>
    <w:p w:rsidR="00DF7E22" w:rsidRDefault="00E95269">
      <w:pPr>
        <w:numPr>
          <w:ilvl w:val="0"/>
          <w:numId w:val="5"/>
        </w:numPr>
        <w:ind w:right="0" w:hanging="421"/>
      </w:pPr>
      <w:r>
        <w:t xml:space="preserve">For long periods of student absence, the exams officer must be informed so as to apply for Special Consideration. </w:t>
      </w:r>
    </w:p>
    <w:p w:rsidR="00DF7E22" w:rsidRDefault="00E95269">
      <w:pPr>
        <w:numPr>
          <w:ilvl w:val="0"/>
          <w:numId w:val="5"/>
        </w:numPr>
        <w:ind w:right="0" w:hanging="421"/>
      </w:pPr>
      <w:r>
        <w:t xml:space="preserve">Ensure that all collaborative work by students must be written up in the student’s own words </w:t>
      </w:r>
    </w:p>
    <w:p w:rsidR="00DF7E22" w:rsidRDefault="00E95269">
      <w:pPr>
        <w:numPr>
          <w:ilvl w:val="0"/>
          <w:numId w:val="5"/>
        </w:numPr>
        <w:ind w:right="0" w:hanging="421"/>
      </w:pPr>
      <w:r>
        <w:t xml:space="preserve">Record of any irregular incident, giving names of all involved, the date, time and name of Assessment. Where there is malpractice it will be dealt with under the disciplinary procedures of the school and the relevant awarding body informed. </w:t>
      </w:r>
    </w:p>
    <w:p w:rsidR="00DF7E22" w:rsidRDefault="00E95269">
      <w:pPr>
        <w:numPr>
          <w:ilvl w:val="0"/>
          <w:numId w:val="5"/>
        </w:numPr>
        <w:ind w:right="0" w:hanging="421"/>
      </w:pPr>
      <w:r>
        <w:t xml:space="preserve">Teachers must liaise with SENCO for access arrangements which will be done online by the exams officer. </w:t>
      </w:r>
    </w:p>
    <w:p w:rsidR="00DF7E22" w:rsidRDefault="00E95269">
      <w:pPr>
        <w:numPr>
          <w:ilvl w:val="0"/>
          <w:numId w:val="5"/>
        </w:numPr>
        <w:ind w:right="0" w:hanging="421"/>
      </w:pPr>
      <w:r>
        <w:t xml:space="preserve">Ensure that students and supervising teachers sign authentication forms on completion of each assessment. </w:t>
      </w:r>
    </w:p>
    <w:p w:rsidR="00DF7E22" w:rsidRDefault="00E95269">
      <w:pPr>
        <w:numPr>
          <w:ilvl w:val="0"/>
          <w:numId w:val="5"/>
        </w:numPr>
        <w:ind w:right="0" w:hanging="421"/>
      </w:pPr>
      <w:r>
        <w:t xml:space="preserve">Mark internally assessed components using awarding body mark schemes. </w:t>
      </w:r>
    </w:p>
    <w:p w:rsidR="00DF7E22" w:rsidRDefault="00E95269">
      <w:pPr>
        <w:numPr>
          <w:ilvl w:val="0"/>
          <w:numId w:val="5"/>
        </w:numPr>
        <w:ind w:right="0" w:hanging="421"/>
      </w:pPr>
      <w:r>
        <w:lastRenderedPageBreak/>
        <w:t xml:space="preserve">Keep a record of marks and submit these through the Exams Office to the awarding body.  </w:t>
      </w:r>
    </w:p>
    <w:p w:rsidR="00DF7E22" w:rsidRDefault="00E95269">
      <w:pPr>
        <w:numPr>
          <w:ilvl w:val="0"/>
          <w:numId w:val="5"/>
        </w:numPr>
        <w:ind w:right="0" w:hanging="421"/>
      </w:pPr>
      <w:r>
        <w:t xml:space="preserve">Assessment marks must be submitted before the relevant deadlines. </w:t>
      </w:r>
    </w:p>
    <w:p w:rsidR="00DF7E22" w:rsidRDefault="00E95269">
      <w:pPr>
        <w:numPr>
          <w:ilvl w:val="0"/>
          <w:numId w:val="5"/>
        </w:numPr>
        <w:ind w:right="0" w:hanging="421"/>
      </w:pPr>
      <w:r>
        <w:t xml:space="preserve">Keep candidates’ work securely between sessions in the exam office. A register of material handed in and returned for additional work will be kept. </w:t>
      </w:r>
    </w:p>
    <w:p w:rsidR="00DF7E22" w:rsidRDefault="00E95269">
      <w:pPr>
        <w:numPr>
          <w:ilvl w:val="0"/>
          <w:numId w:val="5"/>
        </w:numPr>
        <w:ind w:right="0" w:hanging="421"/>
      </w:pPr>
      <w:r>
        <w:t xml:space="preserve">All work must be kept secure until the closing date for enquiries about results. </w:t>
      </w:r>
    </w:p>
    <w:p w:rsidR="00DF7E22" w:rsidRDefault="00E95269">
      <w:pPr>
        <w:numPr>
          <w:ilvl w:val="0"/>
          <w:numId w:val="5"/>
        </w:numPr>
        <w:ind w:right="0" w:hanging="421"/>
      </w:pPr>
      <w:r>
        <w:t xml:space="preserve">Provide Learning Support Department with access arrangement applicants’ names well in advance of timetabled assessment. </w:t>
      </w:r>
    </w:p>
    <w:p w:rsidR="00DF7E22" w:rsidRDefault="00E95269">
      <w:pPr>
        <w:spacing w:after="27"/>
        <w:ind w:left="0" w:right="0" w:firstLine="0"/>
        <w:jc w:val="left"/>
      </w:pPr>
      <w:r>
        <w:t xml:space="preserve"> </w:t>
      </w:r>
    </w:p>
    <w:p w:rsidR="00DF7E22" w:rsidRDefault="00E95269">
      <w:pPr>
        <w:pStyle w:val="Heading2"/>
        <w:ind w:left="-5"/>
      </w:pPr>
      <w:r>
        <w:t xml:space="preserve">Exams Office Staff </w:t>
      </w:r>
    </w:p>
    <w:p w:rsidR="00DF7E22" w:rsidRDefault="00E95269">
      <w:pPr>
        <w:numPr>
          <w:ilvl w:val="0"/>
          <w:numId w:val="6"/>
        </w:numPr>
        <w:ind w:right="0" w:hanging="360"/>
      </w:pPr>
      <w:r>
        <w:t xml:space="preserve">Enter all students for all applicable assessments before published deadlines. </w:t>
      </w:r>
    </w:p>
    <w:p w:rsidR="00DF7E22" w:rsidRDefault="00E95269">
      <w:pPr>
        <w:numPr>
          <w:ilvl w:val="0"/>
          <w:numId w:val="6"/>
        </w:numPr>
        <w:ind w:right="0" w:hanging="360"/>
      </w:pPr>
      <w:r>
        <w:t xml:space="preserve">Enter cash-in-codes for terminal exam series. </w:t>
      </w:r>
    </w:p>
    <w:p w:rsidR="00DF7E22" w:rsidRDefault="00E95269">
      <w:pPr>
        <w:numPr>
          <w:ilvl w:val="0"/>
          <w:numId w:val="6"/>
        </w:numPr>
        <w:ind w:right="0" w:hanging="360"/>
      </w:pPr>
      <w:r>
        <w:t xml:space="preserve">To take responsibility for the safe storage and transmission of all confidential material received. </w:t>
      </w:r>
    </w:p>
    <w:p w:rsidR="00DF7E22" w:rsidRDefault="00E95269">
      <w:pPr>
        <w:numPr>
          <w:ilvl w:val="0"/>
          <w:numId w:val="6"/>
        </w:numPr>
        <w:ind w:right="0" w:hanging="360"/>
      </w:pPr>
      <w:r>
        <w:t xml:space="preserve">Download and distribute marksheets for teaching staff to use. Ensure that marksheets are sent to awarding bodies after return before deadlines. </w:t>
      </w:r>
    </w:p>
    <w:p w:rsidR="00DF7E22" w:rsidRDefault="00E95269">
      <w:pPr>
        <w:numPr>
          <w:ilvl w:val="0"/>
          <w:numId w:val="6"/>
        </w:numPr>
        <w:ind w:right="0" w:hanging="360"/>
      </w:pPr>
      <w:r>
        <w:t xml:space="preserve">Arrange suitable venue for controlled assessment at the direction of Senior Leadership team, in instances where a classroom is not suitable. </w:t>
      </w:r>
    </w:p>
    <w:p w:rsidR="00DF7E22" w:rsidRDefault="00E95269">
      <w:pPr>
        <w:spacing w:after="27"/>
        <w:ind w:left="0" w:right="0" w:firstLine="0"/>
        <w:jc w:val="left"/>
      </w:pPr>
      <w:r>
        <w:t xml:space="preserve"> </w:t>
      </w:r>
    </w:p>
    <w:p w:rsidR="00DF7E22" w:rsidRDefault="00E95269">
      <w:pPr>
        <w:ind w:right="0"/>
      </w:pPr>
      <w:r>
        <w:t xml:space="preserve">Special Educational Needs/ Learning Support Department </w:t>
      </w:r>
    </w:p>
    <w:p w:rsidR="00DF7E22" w:rsidRDefault="00E95269">
      <w:pPr>
        <w:numPr>
          <w:ilvl w:val="0"/>
          <w:numId w:val="6"/>
        </w:numPr>
        <w:ind w:right="0" w:hanging="360"/>
      </w:pPr>
      <w:r>
        <w:t xml:space="preserve">Ensure access arrangements have been applied for before assessment </w:t>
      </w:r>
    </w:p>
    <w:p w:rsidR="00DF7E22" w:rsidRDefault="00E95269">
      <w:pPr>
        <w:numPr>
          <w:ilvl w:val="0"/>
          <w:numId w:val="6"/>
        </w:numPr>
        <w:ind w:right="0" w:hanging="360"/>
      </w:pPr>
      <w:r>
        <w:t xml:space="preserve">Work with teaching staff to ensure access and support staff requirements are met.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27"/>
        <w:ind w:left="0" w:right="0" w:firstLine="0"/>
        <w:jc w:val="left"/>
      </w:pPr>
      <w:r>
        <w:t xml:space="preserve"> </w:t>
      </w:r>
    </w:p>
    <w:p w:rsidR="00DF7E22" w:rsidRDefault="00E95269">
      <w:pPr>
        <w:spacing w:after="0"/>
        <w:ind w:left="0" w:right="0" w:firstLine="0"/>
        <w:jc w:val="left"/>
      </w:pPr>
      <w:r>
        <w:t xml:space="preserve"> </w:t>
      </w:r>
    </w:p>
    <w:sectPr w:rsidR="00DF7E22">
      <w:footerReference w:type="even" r:id="rId11"/>
      <w:footerReference w:type="default" r:id="rId12"/>
      <w:footerReference w:type="first" r:id="rId13"/>
      <w:pgSz w:w="12240" w:h="15840"/>
      <w:pgMar w:top="1451" w:right="1136" w:bottom="1078" w:left="1134"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7982" w:rsidRDefault="00CE7982">
      <w:pPr>
        <w:spacing w:after="0" w:line="240" w:lineRule="auto"/>
      </w:pPr>
      <w:r>
        <w:separator/>
      </w:r>
    </w:p>
  </w:endnote>
  <w:endnote w:type="continuationSeparator" w:id="0">
    <w:p w:rsidR="00CE7982" w:rsidRDefault="00CE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Heiti Std R">
    <w:panose1 w:val="020B0400000000000000"/>
    <w:charset w:val="80"/>
    <w:family w:val="swiss"/>
    <w:notTrueType/>
    <w:pitch w:val="variable"/>
    <w:sig w:usb0="00000207" w:usb1="0A0F1810" w:usb2="00000016" w:usb3="00000000" w:csb0="0006000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E22" w:rsidRDefault="00E95269">
    <w:pPr>
      <w:spacing w:after="0"/>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E22" w:rsidRDefault="00E95269">
    <w:pPr>
      <w:spacing w:after="0"/>
      <w:ind w:left="0" w:firstLine="0"/>
      <w:jc w:val="right"/>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7E22" w:rsidRDefault="00DF7E22">
    <w:pPr>
      <w:spacing w:after="160"/>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7982" w:rsidRDefault="00CE7982">
      <w:pPr>
        <w:spacing w:after="0" w:line="240" w:lineRule="auto"/>
      </w:pPr>
      <w:r>
        <w:separator/>
      </w:r>
    </w:p>
  </w:footnote>
  <w:footnote w:type="continuationSeparator" w:id="0">
    <w:p w:rsidR="00CE7982" w:rsidRDefault="00CE7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3E44"/>
    <w:multiLevelType w:val="hybridMultilevel"/>
    <w:tmpl w:val="10B09876"/>
    <w:lvl w:ilvl="0" w:tplc="955453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F2229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1878E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9DE7C7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B0753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25E78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A6F18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16239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08C99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AD376D6"/>
    <w:multiLevelType w:val="hybridMultilevel"/>
    <w:tmpl w:val="A352F32E"/>
    <w:lvl w:ilvl="0" w:tplc="D4DEE014">
      <w:start w:val="1"/>
      <w:numFmt w:val="lowerRoman"/>
      <w:lvlText w:val="(%1)"/>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16F91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20BA3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1A833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B4D9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26A4BF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3E1BE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6216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8C17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EF28F2"/>
    <w:multiLevelType w:val="hybridMultilevel"/>
    <w:tmpl w:val="F6A4AD5C"/>
    <w:lvl w:ilvl="0" w:tplc="50E4A2C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68BE6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EA37C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4F420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CE8DE1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31ED89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ACD9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1AFF2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62EBF3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C7C4C33"/>
    <w:multiLevelType w:val="hybridMultilevel"/>
    <w:tmpl w:val="1EAE5042"/>
    <w:lvl w:ilvl="0" w:tplc="86BA1A7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26E5D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1B09F3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D0FFF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BA4D1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EE509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A498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64C43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3C816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BA71791"/>
    <w:multiLevelType w:val="hybridMultilevel"/>
    <w:tmpl w:val="7D800992"/>
    <w:lvl w:ilvl="0" w:tplc="612C588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EA2B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9C919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E29F8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6F82B1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FB2093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D0FD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9CEE6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E0C97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53E3F1B"/>
    <w:multiLevelType w:val="hybridMultilevel"/>
    <w:tmpl w:val="820EBF24"/>
    <w:lvl w:ilvl="0" w:tplc="6150B5E8">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493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F0B3B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68BD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A48DA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5CCFA1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148F49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611D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BEC635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22"/>
    <w:rsid w:val="00053A01"/>
    <w:rsid w:val="00362ED5"/>
    <w:rsid w:val="005C074F"/>
    <w:rsid w:val="00893A41"/>
    <w:rsid w:val="00920A65"/>
    <w:rsid w:val="009550DD"/>
    <w:rsid w:val="00CE7982"/>
    <w:rsid w:val="00DF7E22"/>
    <w:rsid w:val="00E95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ECE5A"/>
  <w15:docId w15:val="{AC4524D6-6076-4449-AA5C-1F58E44CA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
      <w:ind w:left="10" w:right="8"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27"/>
      <w:ind w:left="10" w:hanging="10"/>
      <w:outlineLvl w:val="0"/>
    </w:pPr>
    <w:rPr>
      <w:rFonts w:ascii="Arial" w:eastAsia="Arial" w:hAnsi="Arial" w:cs="Arial"/>
      <w:b/>
      <w:color w:val="000000"/>
      <w:u w:val="single" w:color="000000"/>
    </w:rPr>
  </w:style>
  <w:style w:type="paragraph" w:styleId="Heading2">
    <w:name w:val="heading 2"/>
    <w:next w:val="Normal"/>
    <w:link w:val="Heading2Char"/>
    <w:uiPriority w:val="9"/>
    <w:unhideWhenUsed/>
    <w:qFormat/>
    <w:pPr>
      <w:keepNext/>
      <w:keepLines/>
      <w:spacing w:after="27"/>
      <w:ind w:left="10"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pPr>
      <w:spacing w:before="12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Hill</dc:creator>
  <cp:keywords/>
  <cp:lastModifiedBy>Helen Sharples</cp:lastModifiedBy>
  <cp:revision>2</cp:revision>
  <dcterms:created xsi:type="dcterms:W3CDTF">2021-03-19T14:30:00Z</dcterms:created>
  <dcterms:modified xsi:type="dcterms:W3CDTF">2021-03-19T14:30:00Z</dcterms:modified>
</cp:coreProperties>
</file>