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99" w:rsidRDefault="00F47299">
      <w:pPr>
        <w:jc w:val="center"/>
        <w:rPr>
          <w:b/>
          <w:sz w:val="28"/>
          <w:szCs w:val="28"/>
        </w:rPr>
      </w:pPr>
    </w:p>
    <w:p w:rsidR="00F47299" w:rsidRDefault="0007185A" w:rsidP="00532962">
      <w:pPr>
        <w:rPr>
          <w:b/>
          <w:sz w:val="28"/>
          <w:szCs w:val="28"/>
        </w:rPr>
      </w:pPr>
      <w:r w:rsidRPr="004749D4">
        <w:rPr>
          <w:noProof/>
        </w:rPr>
        <w:drawing>
          <wp:inline distT="0" distB="0" distL="0" distR="0" wp14:anchorId="5F1749AE" wp14:editId="1B72714E">
            <wp:extent cx="315277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962">
        <w:rPr>
          <w:noProof/>
        </w:rPr>
        <w:t xml:space="preserve">                                 </w:t>
      </w:r>
      <w:r w:rsidR="003148C9">
        <w:rPr>
          <w:noProof/>
        </w:rPr>
        <w:t xml:space="preserve">                                  </w:t>
      </w:r>
      <w:r w:rsidR="00532962">
        <w:rPr>
          <w:noProof/>
        </w:rPr>
        <w:drawing>
          <wp:inline distT="0" distB="0" distL="0" distR="0" wp14:anchorId="32D36736" wp14:editId="732B56C2">
            <wp:extent cx="3438525" cy="10941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N TRUST Rose Brid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86" cy="109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85A" w:rsidRDefault="0053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WIGAN LEARNING PARTNERSHIP </w:t>
      </w:r>
    </w:p>
    <w:p w:rsidR="00532962" w:rsidRDefault="0053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TERMS OF REFERENCE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2"/>
        <w:gridCol w:w="2130"/>
        <w:gridCol w:w="4836"/>
        <w:gridCol w:w="2130"/>
      </w:tblGrid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Committee</w:t>
            </w:r>
          </w:p>
        </w:tc>
        <w:tc>
          <w:tcPr>
            <w:tcW w:w="9096" w:type="dxa"/>
            <w:gridSpan w:val="3"/>
          </w:tcPr>
          <w:p w:rsidR="00F47299" w:rsidRDefault="007B7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Standards Committee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Quorum</w:t>
            </w:r>
          </w:p>
        </w:tc>
        <w:tc>
          <w:tcPr>
            <w:tcW w:w="9096" w:type="dxa"/>
            <w:gridSpan w:val="3"/>
          </w:tcPr>
          <w:p w:rsidR="00F47299" w:rsidRDefault="007B7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Quorum for the Committee shall be 3 Governors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Meetings</w:t>
            </w:r>
          </w:p>
        </w:tc>
        <w:tc>
          <w:tcPr>
            <w:tcW w:w="9096" w:type="dxa"/>
            <w:gridSpan w:val="3"/>
          </w:tcPr>
          <w:p w:rsidR="00F47299" w:rsidRDefault="007B7D0B" w:rsidP="005E5A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Committee will meet </w:t>
            </w:r>
            <w:r w:rsidR="005E5AFD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times per year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Delegation</w:t>
            </w:r>
          </w:p>
        </w:tc>
        <w:tc>
          <w:tcPr>
            <w:tcW w:w="9096" w:type="dxa"/>
            <w:gridSpan w:val="3"/>
          </w:tcPr>
          <w:p w:rsidR="00F47299" w:rsidRDefault="007B7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Committee does have delegated powers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Chair</w:t>
            </w:r>
          </w:p>
        </w:tc>
        <w:tc>
          <w:tcPr>
            <w:tcW w:w="9096" w:type="dxa"/>
            <w:gridSpan w:val="3"/>
          </w:tcPr>
          <w:p w:rsidR="00F47299" w:rsidRDefault="007B7D0B" w:rsidP="005E5A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Appointed by the </w:t>
            </w:r>
            <w:r w:rsidR="005E5AFD">
              <w:rPr>
                <w:b/>
                <w:sz w:val="32"/>
                <w:szCs w:val="32"/>
              </w:rPr>
              <w:t xml:space="preserve">Governing Body as Mrs Carol Snape 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Clerk to the Committee</w:t>
            </w:r>
          </w:p>
        </w:tc>
        <w:tc>
          <w:tcPr>
            <w:tcW w:w="9096" w:type="dxa"/>
            <w:gridSpan w:val="3"/>
          </w:tcPr>
          <w:p w:rsidR="00F47299" w:rsidRDefault="007B7D0B" w:rsidP="007B7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Mrs Suzanne Strong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9096" w:type="dxa"/>
            <w:gridSpan w:val="3"/>
          </w:tcPr>
          <w:p w:rsidR="00F47299" w:rsidRDefault="007B7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Approved by the Committee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Arrangements</w:t>
            </w:r>
          </w:p>
        </w:tc>
        <w:tc>
          <w:tcPr>
            <w:tcW w:w="9096" w:type="dxa"/>
            <w:gridSpan w:val="3"/>
          </w:tcPr>
          <w:p w:rsidR="00F47299" w:rsidRDefault="007B7D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Draft minutes will be received by the Governing Body at its next meeting</w:t>
            </w:r>
            <w:bookmarkStart w:id="0" w:name="_GoBack"/>
            <w:bookmarkEnd w:id="0"/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Adopted</w:t>
            </w:r>
          </w:p>
        </w:tc>
        <w:tc>
          <w:tcPr>
            <w:tcW w:w="9096" w:type="dxa"/>
            <w:gridSpan w:val="3"/>
          </w:tcPr>
          <w:p w:rsidR="00F47299" w:rsidRPr="00BD0B11" w:rsidRDefault="00D83A77" w:rsidP="000718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D83A77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October 2020</w:t>
            </w:r>
          </w:p>
          <w:p w:rsidR="005E5AFD" w:rsidRPr="00BD0B11" w:rsidRDefault="005E5AFD" w:rsidP="0007185A">
            <w:pPr>
              <w:rPr>
                <w:b/>
                <w:sz w:val="32"/>
                <w:szCs w:val="32"/>
              </w:rPr>
            </w:pPr>
          </w:p>
          <w:p w:rsidR="005E5AFD" w:rsidRDefault="005E5AFD" w:rsidP="0007185A">
            <w:pPr>
              <w:rPr>
                <w:b/>
                <w:sz w:val="32"/>
                <w:szCs w:val="32"/>
              </w:rPr>
            </w:pPr>
          </w:p>
          <w:p w:rsidR="005E5AFD" w:rsidRDefault="005E5AFD" w:rsidP="0007185A">
            <w:pPr>
              <w:rPr>
                <w:b/>
                <w:sz w:val="32"/>
                <w:szCs w:val="32"/>
              </w:rPr>
            </w:pPr>
          </w:p>
        </w:tc>
      </w:tr>
      <w:tr w:rsidR="0007185A" w:rsidTr="005E5AFD">
        <w:tc>
          <w:tcPr>
            <w:tcW w:w="6982" w:type="dxa"/>
            <w:gridSpan w:val="2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DELEGATED FUNCTIONS</w:t>
            </w:r>
          </w:p>
        </w:tc>
        <w:tc>
          <w:tcPr>
            <w:tcW w:w="6966" w:type="dxa"/>
            <w:gridSpan w:val="2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ADVISORY FUNCTIONS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130" w:type="dxa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if Selected</w:t>
            </w:r>
          </w:p>
        </w:tc>
        <w:tc>
          <w:tcPr>
            <w:tcW w:w="4836" w:type="dxa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130" w:type="dxa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if Selected</w:t>
            </w:r>
          </w:p>
        </w:tc>
      </w:tr>
      <w:tr w:rsidR="0007185A" w:rsidTr="005E5AFD">
        <w:tc>
          <w:tcPr>
            <w:tcW w:w="4852" w:type="dxa"/>
            <w:shd w:val="clear" w:color="auto" w:fill="95B3D7" w:themeFill="accent1" w:themeFillTint="99"/>
          </w:tcPr>
          <w:p w:rsidR="00F47299" w:rsidRDefault="00F4729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contribute to and monitor the relevant area of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Improvement Plan and </w:t>
            </w:r>
            <w:r w:rsidR="0007185A">
              <w:rPr>
                <w:sz w:val="20"/>
                <w:szCs w:val="20"/>
              </w:rPr>
              <w:t xml:space="preserve"> School</w:t>
            </w:r>
            <w:r>
              <w:rPr>
                <w:sz w:val="20"/>
                <w:szCs w:val="20"/>
              </w:rPr>
              <w:t xml:space="preserve"> Self Evaluation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</w:tcPr>
          <w:p w:rsidR="00F47299" w:rsidRDefault="007B7D0B" w:rsidP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approve and review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Curriculum Policy Statement and arrangements for meeting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statutory assessment obligations under the National Curriculum.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review and recommend for approval by the Governing Body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Curriculum Policy Statement and arrangements for meeting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statutory assessment obligations under the National Curriculum.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F47299" w:rsidRDefault="00F4729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monitor the establishment and approve those </w:t>
            </w:r>
            <w:r w:rsidR="0007185A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 policies which have a focus upon teaching and </w:t>
            </w:r>
          </w:p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and pupil welfare and wellbeing,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monitor the establishment and recommend for approval by the Governing Body, those </w:t>
            </w:r>
            <w:r w:rsidR="0007185A">
              <w:rPr>
                <w:sz w:val="20"/>
                <w:szCs w:val="20"/>
              </w:rPr>
              <w:t xml:space="preserve">School </w:t>
            </w:r>
            <w:r>
              <w:rPr>
                <w:sz w:val="20"/>
                <w:szCs w:val="20"/>
              </w:rPr>
              <w:t>policies which have a focus upon teaching and learning and pupil welfare and wellbeing.</w:t>
            </w:r>
          </w:p>
          <w:p w:rsidR="00F47299" w:rsidRDefault="00F47299">
            <w:pPr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  <w:shd w:val="clear" w:color="auto" w:fill="95B3D7" w:themeFill="accent1" w:themeFillTint="99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there is a process in place for the monitoring and evaluation of teaching and learning and to receive reports on quality and effectiveness and its impact upon pupil achievement and attainment. 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  <w:shd w:val="clear" w:color="auto" w:fill="95B3D7" w:themeFill="accent1" w:themeFillTint="99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assistance of staff, to provide information to the governing body about how the curriculum is taught, elevated and resourced.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</w:tcPr>
          <w:p w:rsidR="00F47299" w:rsidRDefault="007B7D0B" w:rsidP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establish, adopt and review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policy and provision for Collective Worship and Religious Education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recommend for adoption by the Governing Body, the Academy’s policy and provision for Collective Worship and Religious Education</w:t>
            </w: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</w:tcPr>
          <w:p w:rsidR="00F47299" w:rsidRDefault="007B7D0B" w:rsidP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establish, adopt and review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policy and provision for Sex Education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 w:rsidP="0007185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To review and recommend for approval by the Governing Body, 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policy and provision for Sex Education</w:t>
            </w: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</w:tcPr>
          <w:p w:rsidR="00F47299" w:rsidRDefault="007B7D0B" w:rsidP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establish, adopt and review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policies and procedures for Vulnerable Children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recommend for approval by the Governing</w:t>
            </w:r>
          </w:p>
          <w:p w:rsidR="00F47299" w:rsidRDefault="007B7D0B" w:rsidP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policies and procedures for Vulnerable Children</w:t>
            </w: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ensure the requirements of children with special educational needs are met by establishing, adopting, monitoring and reviewing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SEN policy. 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ensure the requirements of children with special educational needs are met by establishing, adopting, monitoring and reviewing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SEN policy</w:t>
            </w:r>
          </w:p>
          <w:p w:rsidR="00F47299" w:rsidRDefault="00F47299">
            <w:pPr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6982" w:type="dxa"/>
            <w:gridSpan w:val="2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DELEGATED FUNCTIONS</w:t>
            </w:r>
          </w:p>
        </w:tc>
        <w:tc>
          <w:tcPr>
            <w:tcW w:w="6966" w:type="dxa"/>
            <w:gridSpan w:val="2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ADVISORY FUNCTIONS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130" w:type="dxa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if Selected</w:t>
            </w:r>
          </w:p>
        </w:tc>
        <w:tc>
          <w:tcPr>
            <w:tcW w:w="4836" w:type="dxa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130" w:type="dxa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if Selected</w:t>
            </w:r>
          </w:p>
        </w:tc>
      </w:tr>
      <w:tr w:rsidR="0007185A" w:rsidTr="005E5AFD">
        <w:tc>
          <w:tcPr>
            <w:tcW w:w="4852" w:type="dxa"/>
          </w:tcPr>
          <w:p w:rsidR="00F47299" w:rsidRDefault="007B7D0B" w:rsidP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review and publish the information about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performance which the governing body is required to make available and approve and monitor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attainment and improvement targets and provide the Governing Body with termly progress reports.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 w:rsidP="0007185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To review and recommend for publication the information about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performance which the governing body is required to publish and monitor and recommend for approval by the Governing Body, the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attainment and improvement targets and provide the Governing Body with termly progress reports.</w:t>
            </w: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  <w:shd w:val="clear" w:color="auto" w:fill="8DB3E2" w:themeFill="text2" w:themeFillTint="66"/>
          </w:tcPr>
          <w:p w:rsidR="00F47299" w:rsidRDefault="00F4729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F47299" w:rsidRDefault="00F47299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monitor and secure a balanced treatment, where required, of political issues.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career</w:t>
            </w:r>
            <w:r w:rsidR="0007185A">
              <w:rPr>
                <w:sz w:val="20"/>
                <w:szCs w:val="20"/>
              </w:rPr>
              <w:t>s education is provided in the School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advise the Governing Body on its responsibility for ensuring careers education is provided in the </w:t>
            </w:r>
            <w:r w:rsidR="0007185A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.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85A" w:rsidTr="005E5AFD">
        <w:tc>
          <w:tcPr>
            <w:tcW w:w="4852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only approved external qualifications and syllabuses are offered to pupils</w:t>
            </w:r>
          </w:p>
        </w:tc>
        <w:tc>
          <w:tcPr>
            <w:tcW w:w="2130" w:type="dxa"/>
          </w:tcPr>
          <w:p w:rsidR="00F47299" w:rsidRDefault="00F4729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advise the Governing Body on its responsibility to ensure that only approved external qualifications and syllabuses are offered to pupils</w:t>
            </w:r>
          </w:p>
        </w:tc>
        <w:tc>
          <w:tcPr>
            <w:tcW w:w="2130" w:type="dxa"/>
          </w:tcPr>
          <w:p w:rsidR="00F47299" w:rsidRDefault="00F472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7299" w:rsidRDefault="00F47299" w:rsidP="0007185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47299">
        <w:tc>
          <w:tcPr>
            <w:tcW w:w="14174" w:type="dxa"/>
            <w:shd w:val="clear" w:color="auto" w:fill="D99594" w:themeFill="accent2" w:themeFillTint="99"/>
          </w:tcPr>
          <w:p w:rsidR="00F47299" w:rsidRDefault="007B7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ADMINISTRATIVE RESPONSIBILITIES</w:t>
            </w:r>
          </w:p>
        </w:tc>
      </w:tr>
      <w:tr w:rsidR="00F47299">
        <w:tc>
          <w:tcPr>
            <w:tcW w:w="14174" w:type="dxa"/>
            <w:shd w:val="clear" w:color="auto" w:fill="D99594" w:themeFill="accent2" w:themeFillTint="99"/>
          </w:tcPr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there are effective clerking arrangements for the Committee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Committee receives relevant, accurate, timely and user friendly reports on the premises issues 10 days prior to the meeting.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decisions including any changes are clearly minuted.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a register of pecuniary interest is maintained and reviewed annually and that any declarations are recorded at each meeting.</w:t>
            </w:r>
          </w:p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governors and particularly committee members receive appropriate training.</w:t>
            </w:r>
          </w:p>
          <w:p w:rsidR="00F47299" w:rsidRDefault="00F47299">
            <w:pPr>
              <w:rPr>
                <w:sz w:val="20"/>
                <w:szCs w:val="20"/>
              </w:rPr>
            </w:pPr>
          </w:p>
          <w:p w:rsidR="00F47299" w:rsidRDefault="007B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</w:t>
            </w:r>
            <w:r w:rsidR="0007185A">
              <w:rPr>
                <w:sz w:val="20"/>
                <w:szCs w:val="20"/>
              </w:rPr>
              <w:t>School’s</w:t>
            </w:r>
            <w:r>
              <w:rPr>
                <w:sz w:val="20"/>
                <w:szCs w:val="20"/>
              </w:rPr>
              <w:t xml:space="preserve"> performance management structure and procedures are reviewed. </w:t>
            </w:r>
          </w:p>
        </w:tc>
      </w:tr>
    </w:tbl>
    <w:p w:rsidR="00F47299" w:rsidRDefault="00F47299">
      <w:pPr>
        <w:jc w:val="center"/>
        <w:rPr>
          <w:b/>
          <w:sz w:val="24"/>
          <w:szCs w:val="24"/>
        </w:rPr>
      </w:pPr>
    </w:p>
    <w:sectPr w:rsidR="00F472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76453"/>
    <w:multiLevelType w:val="hybridMultilevel"/>
    <w:tmpl w:val="A3EE56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27121"/>
    <w:multiLevelType w:val="hybridMultilevel"/>
    <w:tmpl w:val="89AE7E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99"/>
    <w:rsid w:val="0007185A"/>
    <w:rsid w:val="002F24BE"/>
    <w:rsid w:val="003148C9"/>
    <w:rsid w:val="00532962"/>
    <w:rsid w:val="005E5AFD"/>
    <w:rsid w:val="007B7D0B"/>
    <w:rsid w:val="00BD0B11"/>
    <w:rsid w:val="00D83A77"/>
    <w:rsid w:val="00DC3725"/>
    <w:rsid w:val="00F47299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D099"/>
  <w15:docId w15:val="{09A37DF0-3EB4-42ED-A8D7-6C546557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mfinnigan</dc:creator>
  <cp:lastModifiedBy>Suzanne Strong</cp:lastModifiedBy>
  <cp:revision>8</cp:revision>
  <dcterms:created xsi:type="dcterms:W3CDTF">2018-11-09T14:01:00Z</dcterms:created>
  <dcterms:modified xsi:type="dcterms:W3CDTF">2020-07-21T15:50:00Z</dcterms:modified>
</cp:coreProperties>
</file>