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59B7" w:rsidRPr="00C67555" w:rsidRDefault="00CA2D45">
      <w:pPr>
        <w:rPr>
          <w:rFonts w:cstheme="minorHAnsi"/>
        </w:rPr>
      </w:pPr>
      <w:r w:rsidRPr="00C67555">
        <w:rPr>
          <w:rFonts w:cstheme="minorHAnsi"/>
          <w:noProof/>
        </w:rPr>
        <w:drawing>
          <wp:inline distT="0" distB="0" distL="0" distR="0" wp14:anchorId="570279DB" wp14:editId="15099923">
            <wp:extent cx="5731510" cy="1280151"/>
            <wp:effectExtent l="0" t="0" r="2540" b="0"/>
            <wp:docPr id="2" name="image1.jpg" descr="Image result for dean trust rose bridge"/>
            <wp:cNvGraphicFramePr/>
            <a:graphic xmlns:a="http://schemas.openxmlformats.org/drawingml/2006/main">
              <a:graphicData uri="http://schemas.openxmlformats.org/drawingml/2006/picture">
                <pic:pic xmlns:pic="http://schemas.openxmlformats.org/drawingml/2006/picture">
                  <pic:nvPicPr>
                    <pic:cNvPr id="0" name="image1.jpg" descr="Image result for dean trust rose bridge"/>
                    <pic:cNvPicPr preferRelativeResize="0"/>
                  </pic:nvPicPr>
                  <pic:blipFill>
                    <a:blip r:embed="rId5"/>
                    <a:srcRect/>
                    <a:stretch>
                      <a:fillRect/>
                    </a:stretch>
                  </pic:blipFill>
                  <pic:spPr>
                    <a:xfrm>
                      <a:off x="0" y="0"/>
                      <a:ext cx="5731510" cy="1280151"/>
                    </a:xfrm>
                    <a:prstGeom prst="rect">
                      <a:avLst/>
                    </a:prstGeom>
                    <a:ln/>
                  </pic:spPr>
                </pic:pic>
              </a:graphicData>
            </a:graphic>
          </wp:inline>
        </w:drawing>
      </w:r>
    </w:p>
    <w:p w:rsidR="00CA2D45" w:rsidRPr="00C67555" w:rsidRDefault="00CA2D45">
      <w:pPr>
        <w:rPr>
          <w:rFonts w:cstheme="minorHAnsi"/>
        </w:rPr>
      </w:pPr>
    </w:p>
    <w:p w:rsidR="00CA2D45" w:rsidRPr="00C67555" w:rsidRDefault="00CA2D45" w:rsidP="00CA2D45">
      <w:pPr>
        <w:jc w:val="center"/>
        <w:rPr>
          <w:rFonts w:cstheme="minorHAnsi"/>
          <w:b/>
          <w:u w:val="single"/>
        </w:rPr>
      </w:pPr>
      <w:r w:rsidRPr="00C67555">
        <w:rPr>
          <w:rFonts w:cstheme="minorHAnsi"/>
          <w:b/>
          <w:u w:val="single"/>
        </w:rPr>
        <w:t>Dean Trust Rose Bridge Catch Up Strategy (2019-2020)</w:t>
      </w:r>
    </w:p>
    <w:p w:rsidR="00CA2D45" w:rsidRPr="00C67555" w:rsidRDefault="00CA2D45" w:rsidP="00CA2D45">
      <w:pPr>
        <w:rPr>
          <w:rFonts w:cstheme="minorHAnsi"/>
        </w:rPr>
      </w:pPr>
      <w:r w:rsidRPr="00C67555">
        <w:rPr>
          <w:rFonts w:cstheme="minorHAnsi"/>
        </w:rPr>
        <w:t xml:space="preserve">The Literacy and Numeracy Catch-Up Funding (“Catch Up”) is additional funding provided to schools in order to support these schools in providing additional support to Year 7 pupils who did not achieve the expected standard in reading, or maths, at the end of Key-Stage 2 (“KS2”). </w:t>
      </w:r>
      <w:r w:rsidR="0037718B" w:rsidRPr="00C67555">
        <w:rPr>
          <w:rFonts w:cstheme="minorHAnsi"/>
        </w:rPr>
        <w:t xml:space="preserve">Schools have </w:t>
      </w:r>
      <w:r w:rsidRPr="00C67555">
        <w:rPr>
          <w:rFonts w:cstheme="minorHAnsi"/>
        </w:rPr>
        <w:t xml:space="preserve">autonomy in how they spend this funding, but should select programmes and approaches that are known to be effective. For further details, please see the following Department for Education Link: </w:t>
      </w:r>
      <w:hyperlink r:id="rId6" w:history="1">
        <w:r w:rsidRPr="00C67555">
          <w:rPr>
            <w:rStyle w:val="Hyperlink"/>
            <w:rFonts w:cstheme="minorHAnsi"/>
          </w:rPr>
          <w:t>https://www.gov.uk/guidance/year-7-literacy-and-numeracy-catch-up-premium-guide-for-schools</w:t>
        </w:r>
      </w:hyperlink>
      <w:r w:rsidRPr="00C67555">
        <w:rPr>
          <w:rFonts w:cstheme="minorHAnsi"/>
        </w:rPr>
        <w:t xml:space="preserve"> </w:t>
      </w:r>
    </w:p>
    <w:tbl>
      <w:tblPr>
        <w:tblStyle w:val="TableGrid"/>
        <w:tblW w:w="0" w:type="auto"/>
        <w:tblLook w:val="04A0" w:firstRow="1" w:lastRow="0" w:firstColumn="1" w:lastColumn="0" w:noHBand="0" w:noVBand="1"/>
      </w:tblPr>
      <w:tblGrid>
        <w:gridCol w:w="2263"/>
        <w:gridCol w:w="1148"/>
        <w:gridCol w:w="894"/>
        <w:gridCol w:w="235"/>
        <w:gridCol w:w="3252"/>
        <w:gridCol w:w="1224"/>
      </w:tblGrid>
      <w:tr w:rsidR="00864820" w:rsidRPr="00C67555" w:rsidTr="00C74FE5">
        <w:tc>
          <w:tcPr>
            <w:tcW w:w="2263" w:type="dxa"/>
            <w:vMerge w:val="restart"/>
            <w:vAlign w:val="center"/>
          </w:tcPr>
          <w:p w:rsidR="00864820" w:rsidRPr="00C67555" w:rsidRDefault="00864820" w:rsidP="00C74FE5">
            <w:pPr>
              <w:rPr>
                <w:rFonts w:cstheme="minorHAnsi"/>
              </w:rPr>
            </w:pPr>
            <w:r w:rsidRPr="00C67555">
              <w:rPr>
                <w:rFonts w:cstheme="minorHAnsi"/>
              </w:rPr>
              <w:t>DTRB ‘Catch Up’ allocation (19/20)</w:t>
            </w:r>
          </w:p>
        </w:tc>
        <w:tc>
          <w:tcPr>
            <w:tcW w:w="1148" w:type="dxa"/>
            <w:vMerge w:val="restart"/>
            <w:tcBorders>
              <w:right w:val="single" w:sz="4" w:space="0" w:color="auto"/>
            </w:tcBorders>
            <w:vAlign w:val="center"/>
          </w:tcPr>
          <w:p w:rsidR="00864820" w:rsidRPr="00C67555" w:rsidRDefault="00DF4D46" w:rsidP="00C74FE5">
            <w:pPr>
              <w:rPr>
                <w:rFonts w:cstheme="minorHAnsi"/>
              </w:rPr>
            </w:pPr>
            <w:r w:rsidRPr="00C67555">
              <w:rPr>
                <w:rFonts w:cstheme="minorHAnsi"/>
              </w:rPr>
              <w:t>£15,544</w:t>
            </w:r>
          </w:p>
        </w:tc>
        <w:tc>
          <w:tcPr>
            <w:tcW w:w="894" w:type="dxa"/>
            <w:tcBorders>
              <w:top w:val="nil"/>
              <w:left w:val="single" w:sz="4" w:space="0" w:color="auto"/>
              <w:bottom w:val="nil"/>
              <w:right w:val="nil"/>
            </w:tcBorders>
          </w:tcPr>
          <w:p w:rsidR="00864820" w:rsidRPr="00C67555" w:rsidRDefault="00864820" w:rsidP="00CA2D45">
            <w:pPr>
              <w:rPr>
                <w:rFonts w:cstheme="minorHAnsi"/>
              </w:rPr>
            </w:pPr>
          </w:p>
        </w:tc>
        <w:tc>
          <w:tcPr>
            <w:tcW w:w="235" w:type="dxa"/>
            <w:tcBorders>
              <w:top w:val="nil"/>
              <w:left w:val="nil"/>
              <w:bottom w:val="nil"/>
              <w:right w:val="single" w:sz="4" w:space="0" w:color="auto"/>
            </w:tcBorders>
          </w:tcPr>
          <w:p w:rsidR="00864820" w:rsidRPr="00C67555" w:rsidRDefault="00864820" w:rsidP="00CA2D45">
            <w:pPr>
              <w:rPr>
                <w:rFonts w:cstheme="minorHAnsi"/>
              </w:rPr>
            </w:pPr>
          </w:p>
        </w:tc>
        <w:tc>
          <w:tcPr>
            <w:tcW w:w="3252" w:type="dxa"/>
            <w:tcBorders>
              <w:left w:val="single" w:sz="4" w:space="0" w:color="auto"/>
            </w:tcBorders>
          </w:tcPr>
          <w:p w:rsidR="00864820" w:rsidRPr="00C67555" w:rsidRDefault="00864820" w:rsidP="00CA2D45">
            <w:pPr>
              <w:rPr>
                <w:rFonts w:cstheme="minorHAnsi"/>
              </w:rPr>
            </w:pPr>
            <w:r w:rsidRPr="00C67555">
              <w:rPr>
                <w:rFonts w:cstheme="minorHAnsi"/>
              </w:rPr>
              <w:t>Year 7 Pupils ‘On Roll’</w:t>
            </w:r>
          </w:p>
        </w:tc>
        <w:tc>
          <w:tcPr>
            <w:tcW w:w="1224" w:type="dxa"/>
          </w:tcPr>
          <w:p w:rsidR="00864820" w:rsidRPr="00C67555" w:rsidRDefault="00DF4D46" w:rsidP="00CA2D45">
            <w:pPr>
              <w:rPr>
                <w:rFonts w:cstheme="minorHAnsi"/>
              </w:rPr>
            </w:pPr>
            <w:r w:rsidRPr="00C67555">
              <w:rPr>
                <w:rFonts w:cstheme="minorHAnsi"/>
              </w:rPr>
              <w:t>124</w:t>
            </w:r>
          </w:p>
        </w:tc>
      </w:tr>
      <w:tr w:rsidR="00864820" w:rsidRPr="00C67555" w:rsidTr="00FB576D">
        <w:tc>
          <w:tcPr>
            <w:tcW w:w="2263" w:type="dxa"/>
            <w:vMerge/>
          </w:tcPr>
          <w:p w:rsidR="00864820" w:rsidRPr="00C67555" w:rsidRDefault="00864820" w:rsidP="0037718B">
            <w:pPr>
              <w:rPr>
                <w:rFonts w:cstheme="minorHAnsi"/>
              </w:rPr>
            </w:pPr>
          </w:p>
        </w:tc>
        <w:tc>
          <w:tcPr>
            <w:tcW w:w="1148" w:type="dxa"/>
            <w:vMerge/>
            <w:tcBorders>
              <w:right w:val="single" w:sz="4" w:space="0" w:color="auto"/>
            </w:tcBorders>
          </w:tcPr>
          <w:p w:rsidR="00864820" w:rsidRPr="00C67555" w:rsidRDefault="00864820" w:rsidP="00CA2D45">
            <w:pPr>
              <w:rPr>
                <w:rFonts w:cstheme="minorHAnsi"/>
              </w:rPr>
            </w:pPr>
          </w:p>
        </w:tc>
        <w:tc>
          <w:tcPr>
            <w:tcW w:w="894" w:type="dxa"/>
            <w:tcBorders>
              <w:top w:val="nil"/>
              <w:left w:val="single" w:sz="4" w:space="0" w:color="auto"/>
              <w:bottom w:val="nil"/>
              <w:right w:val="nil"/>
            </w:tcBorders>
          </w:tcPr>
          <w:p w:rsidR="00864820" w:rsidRPr="00C67555" w:rsidRDefault="00864820" w:rsidP="00CA2D45">
            <w:pPr>
              <w:rPr>
                <w:rFonts w:cstheme="minorHAnsi"/>
              </w:rPr>
            </w:pPr>
          </w:p>
        </w:tc>
        <w:tc>
          <w:tcPr>
            <w:tcW w:w="235" w:type="dxa"/>
            <w:tcBorders>
              <w:top w:val="nil"/>
              <w:left w:val="nil"/>
              <w:bottom w:val="nil"/>
              <w:right w:val="single" w:sz="4" w:space="0" w:color="auto"/>
            </w:tcBorders>
          </w:tcPr>
          <w:p w:rsidR="00864820" w:rsidRPr="00C67555" w:rsidRDefault="00864820" w:rsidP="00CA2D45">
            <w:pPr>
              <w:rPr>
                <w:rFonts w:cstheme="minorHAnsi"/>
              </w:rPr>
            </w:pPr>
          </w:p>
        </w:tc>
        <w:tc>
          <w:tcPr>
            <w:tcW w:w="3252" w:type="dxa"/>
            <w:tcBorders>
              <w:left w:val="single" w:sz="4" w:space="0" w:color="auto"/>
            </w:tcBorders>
          </w:tcPr>
          <w:p w:rsidR="00864820" w:rsidRPr="00C67555" w:rsidRDefault="00864820" w:rsidP="00CA2D45">
            <w:pPr>
              <w:rPr>
                <w:rFonts w:cstheme="minorHAnsi"/>
              </w:rPr>
            </w:pPr>
            <w:r w:rsidRPr="00C67555">
              <w:rPr>
                <w:rFonts w:cstheme="minorHAnsi"/>
              </w:rPr>
              <w:t>Year 7 Pupils below ES (Reading)</w:t>
            </w:r>
          </w:p>
        </w:tc>
        <w:tc>
          <w:tcPr>
            <w:tcW w:w="1224" w:type="dxa"/>
          </w:tcPr>
          <w:p w:rsidR="00864820" w:rsidRPr="00C67555" w:rsidRDefault="00864820" w:rsidP="00CA2D45">
            <w:pPr>
              <w:rPr>
                <w:rFonts w:cstheme="minorHAnsi"/>
              </w:rPr>
            </w:pPr>
            <w:r w:rsidRPr="00C67555">
              <w:rPr>
                <w:rFonts w:cstheme="minorHAnsi"/>
              </w:rPr>
              <w:t>30</w:t>
            </w:r>
            <w:r w:rsidR="00FB576D" w:rsidRPr="00C67555">
              <w:rPr>
                <w:rFonts w:cstheme="minorHAnsi"/>
              </w:rPr>
              <w:t xml:space="preserve"> (37.2%</w:t>
            </w:r>
          </w:p>
        </w:tc>
      </w:tr>
      <w:tr w:rsidR="00864820" w:rsidRPr="00C67555" w:rsidTr="00FB576D">
        <w:tc>
          <w:tcPr>
            <w:tcW w:w="2263" w:type="dxa"/>
            <w:vMerge/>
          </w:tcPr>
          <w:p w:rsidR="00864820" w:rsidRPr="00C67555" w:rsidRDefault="00864820" w:rsidP="00CA2D45">
            <w:pPr>
              <w:rPr>
                <w:rFonts w:cstheme="minorHAnsi"/>
              </w:rPr>
            </w:pPr>
          </w:p>
        </w:tc>
        <w:tc>
          <w:tcPr>
            <w:tcW w:w="1148" w:type="dxa"/>
            <w:vMerge/>
            <w:tcBorders>
              <w:right w:val="single" w:sz="4" w:space="0" w:color="auto"/>
            </w:tcBorders>
          </w:tcPr>
          <w:p w:rsidR="00864820" w:rsidRPr="00C67555" w:rsidRDefault="00864820" w:rsidP="00CA2D45">
            <w:pPr>
              <w:rPr>
                <w:rFonts w:cstheme="minorHAnsi"/>
              </w:rPr>
            </w:pPr>
          </w:p>
        </w:tc>
        <w:tc>
          <w:tcPr>
            <w:tcW w:w="894" w:type="dxa"/>
            <w:tcBorders>
              <w:top w:val="nil"/>
              <w:left w:val="single" w:sz="4" w:space="0" w:color="auto"/>
              <w:bottom w:val="nil"/>
              <w:right w:val="nil"/>
            </w:tcBorders>
          </w:tcPr>
          <w:p w:rsidR="00864820" w:rsidRPr="00C67555" w:rsidRDefault="00864820" w:rsidP="00CA2D45">
            <w:pPr>
              <w:rPr>
                <w:rFonts w:cstheme="minorHAnsi"/>
              </w:rPr>
            </w:pPr>
          </w:p>
        </w:tc>
        <w:tc>
          <w:tcPr>
            <w:tcW w:w="235" w:type="dxa"/>
            <w:tcBorders>
              <w:top w:val="nil"/>
              <w:left w:val="nil"/>
              <w:bottom w:val="nil"/>
              <w:right w:val="single" w:sz="4" w:space="0" w:color="auto"/>
            </w:tcBorders>
          </w:tcPr>
          <w:p w:rsidR="00864820" w:rsidRPr="00C67555" w:rsidRDefault="00864820" w:rsidP="00CA2D45">
            <w:pPr>
              <w:rPr>
                <w:rFonts w:cstheme="minorHAnsi"/>
              </w:rPr>
            </w:pPr>
          </w:p>
        </w:tc>
        <w:tc>
          <w:tcPr>
            <w:tcW w:w="3252" w:type="dxa"/>
            <w:tcBorders>
              <w:left w:val="single" w:sz="4" w:space="0" w:color="auto"/>
            </w:tcBorders>
          </w:tcPr>
          <w:p w:rsidR="00864820" w:rsidRPr="00C67555" w:rsidRDefault="00864820" w:rsidP="00CA2D45">
            <w:pPr>
              <w:rPr>
                <w:rFonts w:cstheme="minorHAnsi"/>
              </w:rPr>
            </w:pPr>
            <w:r w:rsidRPr="00C67555">
              <w:rPr>
                <w:rFonts w:cstheme="minorHAnsi"/>
              </w:rPr>
              <w:t>Year 7 Pupils below ES (Math</w:t>
            </w:r>
            <w:r w:rsidR="00FB576D" w:rsidRPr="00C67555">
              <w:rPr>
                <w:rFonts w:cstheme="minorHAnsi"/>
              </w:rPr>
              <w:t>s</w:t>
            </w:r>
            <w:r w:rsidRPr="00C67555">
              <w:rPr>
                <w:rFonts w:cstheme="minorHAnsi"/>
              </w:rPr>
              <w:t>)</w:t>
            </w:r>
          </w:p>
        </w:tc>
        <w:tc>
          <w:tcPr>
            <w:tcW w:w="1224" w:type="dxa"/>
          </w:tcPr>
          <w:p w:rsidR="00864820" w:rsidRPr="00C67555" w:rsidRDefault="00864820" w:rsidP="00CA2D45">
            <w:pPr>
              <w:rPr>
                <w:rFonts w:cstheme="minorHAnsi"/>
              </w:rPr>
            </w:pPr>
            <w:r w:rsidRPr="00C67555">
              <w:rPr>
                <w:rFonts w:cstheme="minorHAnsi"/>
              </w:rPr>
              <w:t>2</w:t>
            </w:r>
            <w:r w:rsidR="00DF4D46" w:rsidRPr="00C67555">
              <w:rPr>
                <w:rFonts w:cstheme="minorHAnsi"/>
              </w:rPr>
              <w:t>7</w:t>
            </w:r>
            <w:r w:rsidR="00FB576D" w:rsidRPr="00C67555">
              <w:rPr>
                <w:rFonts w:cstheme="minorHAnsi"/>
              </w:rPr>
              <w:t xml:space="preserve"> (33.5%)</w:t>
            </w:r>
          </w:p>
        </w:tc>
      </w:tr>
      <w:tr w:rsidR="00864820" w:rsidRPr="00C67555" w:rsidTr="00FB576D">
        <w:tc>
          <w:tcPr>
            <w:tcW w:w="2263" w:type="dxa"/>
            <w:vMerge/>
          </w:tcPr>
          <w:p w:rsidR="00864820" w:rsidRPr="00C67555" w:rsidRDefault="00864820" w:rsidP="00CA2D45">
            <w:pPr>
              <w:rPr>
                <w:rFonts w:cstheme="minorHAnsi"/>
              </w:rPr>
            </w:pPr>
          </w:p>
        </w:tc>
        <w:tc>
          <w:tcPr>
            <w:tcW w:w="1148" w:type="dxa"/>
            <w:vMerge/>
            <w:tcBorders>
              <w:right w:val="single" w:sz="4" w:space="0" w:color="auto"/>
            </w:tcBorders>
          </w:tcPr>
          <w:p w:rsidR="00864820" w:rsidRPr="00C67555" w:rsidRDefault="00864820" w:rsidP="00CA2D45">
            <w:pPr>
              <w:rPr>
                <w:rFonts w:cstheme="minorHAnsi"/>
              </w:rPr>
            </w:pPr>
          </w:p>
        </w:tc>
        <w:tc>
          <w:tcPr>
            <w:tcW w:w="894" w:type="dxa"/>
            <w:tcBorders>
              <w:top w:val="nil"/>
              <w:left w:val="single" w:sz="4" w:space="0" w:color="auto"/>
              <w:bottom w:val="nil"/>
              <w:right w:val="nil"/>
            </w:tcBorders>
          </w:tcPr>
          <w:p w:rsidR="00864820" w:rsidRPr="00C67555" w:rsidRDefault="00864820" w:rsidP="00CA2D45">
            <w:pPr>
              <w:rPr>
                <w:rFonts w:cstheme="minorHAnsi"/>
              </w:rPr>
            </w:pPr>
          </w:p>
        </w:tc>
        <w:tc>
          <w:tcPr>
            <w:tcW w:w="235" w:type="dxa"/>
            <w:tcBorders>
              <w:top w:val="nil"/>
              <w:left w:val="nil"/>
              <w:bottom w:val="nil"/>
              <w:right w:val="single" w:sz="4" w:space="0" w:color="auto"/>
            </w:tcBorders>
          </w:tcPr>
          <w:p w:rsidR="00864820" w:rsidRPr="00C67555" w:rsidRDefault="00864820" w:rsidP="00CA2D45">
            <w:pPr>
              <w:rPr>
                <w:rFonts w:cstheme="minorHAnsi"/>
              </w:rPr>
            </w:pPr>
          </w:p>
        </w:tc>
        <w:tc>
          <w:tcPr>
            <w:tcW w:w="3252" w:type="dxa"/>
            <w:tcBorders>
              <w:left w:val="single" w:sz="4" w:space="0" w:color="auto"/>
            </w:tcBorders>
          </w:tcPr>
          <w:p w:rsidR="00864820" w:rsidRPr="00C67555" w:rsidRDefault="00864820" w:rsidP="00CA2D45">
            <w:pPr>
              <w:rPr>
                <w:rFonts w:cstheme="minorHAnsi"/>
              </w:rPr>
            </w:pPr>
            <w:r w:rsidRPr="00C67555">
              <w:rPr>
                <w:rFonts w:cstheme="minorHAnsi"/>
              </w:rPr>
              <w:t>Year 7 pupils below ES (Both)</w:t>
            </w:r>
          </w:p>
        </w:tc>
        <w:tc>
          <w:tcPr>
            <w:tcW w:w="1224" w:type="dxa"/>
          </w:tcPr>
          <w:p w:rsidR="00864820" w:rsidRPr="00C67555" w:rsidRDefault="00DF4D46" w:rsidP="00CA2D45">
            <w:pPr>
              <w:rPr>
                <w:rFonts w:cstheme="minorHAnsi"/>
              </w:rPr>
            </w:pPr>
            <w:r w:rsidRPr="00C67555">
              <w:rPr>
                <w:rFonts w:cstheme="minorHAnsi"/>
              </w:rPr>
              <w:t>23</w:t>
            </w:r>
            <w:r w:rsidR="00FB576D" w:rsidRPr="00C67555">
              <w:rPr>
                <w:rFonts w:cstheme="minorHAnsi"/>
              </w:rPr>
              <w:t xml:space="preserve"> (28.5%)</w:t>
            </w:r>
          </w:p>
        </w:tc>
      </w:tr>
    </w:tbl>
    <w:p w:rsidR="00CA2D45" w:rsidRPr="00C67555" w:rsidRDefault="00CA2D45" w:rsidP="00CA2D45">
      <w:pPr>
        <w:rPr>
          <w:rFonts w:cstheme="minorHAnsi"/>
        </w:rPr>
      </w:pPr>
    </w:p>
    <w:p w:rsidR="00CA2D45" w:rsidRPr="00C67555" w:rsidRDefault="00CA2D45" w:rsidP="00CA2D45">
      <w:pPr>
        <w:rPr>
          <w:rFonts w:cstheme="minorHAnsi"/>
        </w:rPr>
      </w:pPr>
      <w:r w:rsidRPr="00C67555">
        <w:rPr>
          <w:rFonts w:cstheme="minorHAnsi"/>
        </w:rPr>
        <w:t>At Dean Trust Rose Bridge, we triangulate various data-sets for our pupils, to ensure we can adequately support their specific needs. This, in addition to exploring the question level analysis (QLA) we receive from KS2 SATs, allows us to identify the specific needs of our pupils, and tailor strategies appropriate to their needs. Please see below for allocation of funding for the current academic year.</w:t>
      </w:r>
    </w:p>
    <w:tbl>
      <w:tblPr>
        <w:tblStyle w:val="TableGrid"/>
        <w:tblW w:w="0" w:type="auto"/>
        <w:tblLook w:val="04A0" w:firstRow="1" w:lastRow="0" w:firstColumn="1" w:lastColumn="0" w:noHBand="0" w:noVBand="1"/>
      </w:tblPr>
      <w:tblGrid>
        <w:gridCol w:w="2122"/>
        <w:gridCol w:w="3119"/>
        <w:gridCol w:w="1762"/>
        <w:gridCol w:w="2013"/>
      </w:tblGrid>
      <w:tr w:rsidR="00843ADB" w:rsidRPr="00C67555" w:rsidTr="005B619E">
        <w:tc>
          <w:tcPr>
            <w:tcW w:w="2122" w:type="dxa"/>
            <w:shd w:val="clear" w:color="auto" w:fill="D9D9D9" w:themeFill="background1" w:themeFillShade="D9"/>
          </w:tcPr>
          <w:p w:rsidR="00CA2D45" w:rsidRPr="00C67555" w:rsidRDefault="00CA2D45" w:rsidP="00CA2D45">
            <w:pPr>
              <w:rPr>
                <w:rFonts w:cstheme="minorHAnsi"/>
                <w:b/>
              </w:rPr>
            </w:pPr>
            <w:r w:rsidRPr="00C67555">
              <w:rPr>
                <w:rFonts w:cstheme="minorHAnsi"/>
                <w:b/>
              </w:rPr>
              <w:t>Strategy</w:t>
            </w:r>
          </w:p>
        </w:tc>
        <w:tc>
          <w:tcPr>
            <w:tcW w:w="3119" w:type="dxa"/>
            <w:shd w:val="clear" w:color="auto" w:fill="D9D9D9" w:themeFill="background1" w:themeFillShade="D9"/>
          </w:tcPr>
          <w:p w:rsidR="00CA2D45" w:rsidRPr="00C67555" w:rsidRDefault="00CA2D45" w:rsidP="00CA2D45">
            <w:pPr>
              <w:rPr>
                <w:rFonts w:cstheme="minorHAnsi"/>
                <w:b/>
              </w:rPr>
            </w:pPr>
            <w:r w:rsidRPr="00C67555">
              <w:rPr>
                <w:rFonts w:cstheme="minorHAnsi"/>
                <w:b/>
              </w:rPr>
              <w:t>Details</w:t>
            </w:r>
          </w:p>
        </w:tc>
        <w:tc>
          <w:tcPr>
            <w:tcW w:w="1762" w:type="dxa"/>
            <w:shd w:val="clear" w:color="auto" w:fill="D9D9D9" w:themeFill="background1" w:themeFillShade="D9"/>
          </w:tcPr>
          <w:p w:rsidR="00CA2D45" w:rsidRPr="00C67555" w:rsidRDefault="00CA2D45" w:rsidP="00CA2D45">
            <w:pPr>
              <w:rPr>
                <w:rFonts w:cstheme="minorHAnsi"/>
                <w:b/>
              </w:rPr>
            </w:pPr>
            <w:r w:rsidRPr="00C67555">
              <w:rPr>
                <w:rFonts w:cstheme="minorHAnsi"/>
                <w:b/>
              </w:rPr>
              <w:t>Rationale</w:t>
            </w:r>
          </w:p>
        </w:tc>
        <w:tc>
          <w:tcPr>
            <w:tcW w:w="2013" w:type="dxa"/>
            <w:shd w:val="clear" w:color="auto" w:fill="D9D9D9" w:themeFill="background1" w:themeFillShade="D9"/>
          </w:tcPr>
          <w:p w:rsidR="00CA2D45" w:rsidRPr="00C67555" w:rsidRDefault="00CA2D45" w:rsidP="00CA2D45">
            <w:pPr>
              <w:rPr>
                <w:rFonts w:cstheme="minorHAnsi"/>
                <w:b/>
              </w:rPr>
            </w:pPr>
            <w:r w:rsidRPr="00C67555">
              <w:rPr>
                <w:rFonts w:cstheme="minorHAnsi"/>
                <w:b/>
              </w:rPr>
              <w:t>Expected Impact</w:t>
            </w:r>
          </w:p>
        </w:tc>
      </w:tr>
      <w:tr w:rsidR="00843ADB" w:rsidRPr="00C67555" w:rsidTr="005B619E">
        <w:tc>
          <w:tcPr>
            <w:tcW w:w="2122" w:type="dxa"/>
          </w:tcPr>
          <w:p w:rsidR="00CA2D45" w:rsidRPr="00C67555" w:rsidRDefault="00CA2D45" w:rsidP="00CA2D45">
            <w:pPr>
              <w:rPr>
                <w:rFonts w:cstheme="minorHAnsi"/>
                <w:b/>
              </w:rPr>
            </w:pPr>
            <w:r w:rsidRPr="00C67555">
              <w:rPr>
                <w:rFonts w:cstheme="minorHAnsi"/>
                <w:b/>
              </w:rPr>
              <w:t>‘Bedrock’ Reading Intervention</w:t>
            </w:r>
          </w:p>
          <w:p w:rsidR="00BF4AE0" w:rsidRPr="00C67555" w:rsidRDefault="00BF4AE0" w:rsidP="00BF4AE0">
            <w:pPr>
              <w:pStyle w:val="ListParagraph"/>
              <w:numPr>
                <w:ilvl w:val="0"/>
                <w:numId w:val="6"/>
              </w:numPr>
              <w:rPr>
                <w:rFonts w:cstheme="minorHAnsi"/>
              </w:rPr>
            </w:pPr>
            <w:r w:rsidRPr="00C67555">
              <w:rPr>
                <w:rFonts w:cstheme="minorHAnsi"/>
              </w:rPr>
              <w:t>Purchase of appropriate and relevant materials to help facilitate intervention.</w:t>
            </w:r>
          </w:p>
          <w:p w:rsidR="00BF4AE0" w:rsidRPr="00C67555" w:rsidRDefault="00BF4AE0" w:rsidP="00BF4AE0">
            <w:pPr>
              <w:pStyle w:val="ListParagraph"/>
              <w:numPr>
                <w:ilvl w:val="0"/>
                <w:numId w:val="6"/>
              </w:numPr>
              <w:rPr>
                <w:rFonts w:cstheme="minorHAnsi"/>
              </w:rPr>
            </w:pPr>
            <w:r w:rsidRPr="00C67555">
              <w:rPr>
                <w:rFonts w:cstheme="minorHAnsi"/>
              </w:rPr>
              <w:t>Training of Learning Support Assistants (LSAs) to deliver the intervention.</w:t>
            </w:r>
          </w:p>
          <w:p w:rsidR="00BF4AE0" w:rsidRPr="00C67555" w:rsidRDefault="00BF4AE0" w:rsidP="00BF4AE0">
            <w:pPr>
              <w:pStyle w:val="ListParagraph"/>
              <w:numPr>
                <w:ilvl w:val="0"/>
                <w:numId w:val="6"/>
              </w:numPr>
              <w:rPr>
                <w:rFonts w:cstheme="minorHAnsi"/>
              </w:rPr>
            </w:pPr>
            <w:r w:rsidRPr="00C67555">
              <w:rPr>
                <w:rFonts w:cstheme="minorHAnsi"/>
              </w:rPr>
              <w:t>Incentivised attendance.</w:t>
            </w:r>
          </w:p>
          <w:p w:rsidR="00BF4AE0" w:rsidRPr="00C67555" w:rsidRDefault="00BF4AE0" w:rsidP="00EA62B7">
            <w:pPr>
              <w:pStyle w:val="ListParagraph"/>
              <w:rPr>
                <w:rFonts w:cstheme="minorHAnsi"/>
              </w:rPr>
            </w:pPr>
          </w:p>
          <w:p w:rsidR="00DA23C5" w:rsidRPr="00C67555" w:rsidRDefault="00DA23C5" w:rsidP="00CA2D45">
            <w:pPr>
              <w:rPr>
                <w:rFonts w:cstheme="minorHAnsi"/>
              </w:rPr>
            </w:pPr>
          </w:p>
        </w:tc>
        <w:tc>
          <w:tcPr>
            <w:tcW w:w="3119" w:type="dxa"/>
          </w:tcPr>
          <w:p w:rsidR="008A46E0" w:rsidRPr="00C67555" w:rsidRDefault="008A46E0" w:rsidP="00CA2D45">
            <w:pPr>
              <w:rPr>
                <w:rFonts w:cstheme="minorHAnsi"/>
              </w:rPr>
            </w:pPr>
          </w:p>
          <w:p w:rsidR="008A46E0" w:rsidRPr="00C67555" w:rsidRDefault="008A46E0" w:rsidP="00CA2D45">
            <w:pPr>
              <w:rPr>
                <w:rFonts w:cstheme="minorHAnsi"/>
              </w:rPr>
            </w:pPr>
          </w:p>
          <w:p w:rsidR="00CA2D45" w:rsidRPr="00C67555" w:rsidRDefault="008A46E0" w:rsidP="00CA2D45">
            <w:pPr>
              <w:rPr>
                <w:rFonts w:cstheme="minorHAnsi"/>
              </w:rPr>
            </w:pPr>
            <w:r w:rsidRPr="00C67555">
              <w:rPr>
                <w:rFonts w:cstheme="minorHAnsi"/>
              </w:rPr>
              <w:t>Identified pupils receive bespoke ‘Bedrock’ reading intervention delivered by English staff and support team. This will occur in addition to Reading+ support already being given to these pupils so as to enhance learning and understanding of vocabulary.</w:t>
            </w:r>
          </w:p>
        </w:tc>
        <w:tc>
          <w:tcPr>
            <w:tcW w:w="1762" w:type="dxa"/>
          </w:tcPr>
          <w:p w:rsidR="00CA2D45" w:rsidRPr="00C67555" w:rsidRDefault="00CA2D45" w:rsidP="00CA2D45">
            <w:pPr>
              <w:rPr>
                <w:rFonts w:cstheme="minorHAnsi"/>
              </w:rPr>
            </w:pPr>
          </w:p>
          <w:p w:rsidR="00843ADB" w:rsidRPr="00C67555" w:rsidRDefault="00843ADB" w:rsidP="00CA2D45">
            <w:pPr>
              <w:rPr>
                <w:rFonts w:cstheme="minorHAnsi"/>
              </w:rPr>
            </w:pPr>
          </w:p>
          <w:p w:rsidR="00026B87" w:rsidRPr="00C67555" w:rsidRDefault="00843ADB" w:rsidP="00CA2D45">
            <w:pPr>
              <w:rPr>
                <w:rFonts w:cstheme="minorHAnsi"/>
              </w:rPr>
            </w:pPr>
            <w:r w:rsidRPr="00C67555">
              <w:rPr>
                <w:rFonts w:cstheme="minorHAnsi"/>
                <w:shd w:val="clear" w:color="auto" w:fill="FCFCFC"/>
              </w:rPr>
              <w:t>“Pupils struggle to learn other curricula</w:t>
            </w:r>
            <w:r w:rsidRPr="00C67555">
              <w:rPr>
                <w:rFonts w:cstheme="minorHAnsi"/>
                <w:shd w:val="clear" w:color="auto" w:fill="FCFCFC"/>
              </w:rPr>
              <w:t xml:space="preserve"> if they do not develop sufficient reading skills by the middle of primary school.</w:t>
            </w:r>
            <w:r w:rsidRPr="00C67555">
              <w:rPr>
                <w:rFonts w:cstheme="minorHAnsi"/>
                <w:shd w:val="clear" w:color="auto" w:fill="FCFCFC"/>
              </w:rPr>
              <w:t>” DFE (2015)</w:t>
            </w:r>
          </w:p>
        </w:tc>
        <w:tc>
          <w:tcPr>
            <w:tcW w:w="2013" w:type="dxa"/>
          </w:tcPr>
          <w:p w:rsidR="00026B87" w:rsidRPr="00C67555" w:rsidRDefault="00026B87" w:rsidP="00CA2D45">
            <w:pPr>
              <w:rPr>
                <w:rFonts w:cstheme="minorHAnsi"/>
                <w:color w:val="272727"/>
              </w:rPr>
            </w:pPr>
          </w:p>
          <w:p w:rsidR="00843ADB" w:rsidRPr="00C67555" w:rsidRDefault="00843ADB" w:rsidP="00CA2D45">
            <w:pPr>
              <w:rPr>
                <w:rFonts w:cstheme="minorHAnsi"/>
                <w:color w:val="272727"/>
              </w:rPr>
            </w:pPr>
          </w:p>
          <w:p w:rsidR="00CA2D45" w:rsidRPr="00C67555" w:rsidRDefault="00DA23C5" w:rsidP="00CA2D45">
            <w:pPr>
              <w:rPr>
                <w:rFonts w:cstheme="minorHAnsi"/>
                <w:color w:val="272727"/>
              </w:rPr>
            </w:pPr>
            <w:r w:rsidRPr="00C67555">
              <w:rPr>
                <w:rFonts w:cstheme="minorHAnsi"/>
                <w:color w:val="272727"/>
              </w:rPr>
              <w:t>To rapidly close the gap between pupils’ chronological age and reading age</w:t>
            </w:r>
            <w:r w:rsidR="009E2F31" w:rsidRPr="00C67555">
              <w:rPr>
                <w:rFonts w:cstheme="minorHAnsi"/>
                <w:color w:val="272727"/>
              </w:rPr>
              <w:t>.</w:t>
            </w:r>
          </w:p>
          <w:p w:rsidR="009E2F31" w:rsidRPr="00C67555" w:rsidRDefault="009E2F31" w:rsidP="00CA2D45">
            <w:pPr>
              <w:rPr>
                <w:rFonts w:cstheme="minorHAnsi"/>
                <w:color w:val="272727"/>
              </w:rPr>
            </w:pPr>
          </w:p>
          <w:p w:rsidR="009E2F31" w:rsidRPr="00C67555" w:rsidRDefault="009E2F31" w:rsidP="00CA2D45">
            <w:pPr>
              <w:rPr>
                <w:rFonts w:cstheme="minorHAnsi"/>
                <w:color w:val="272727"/>
              </w:rPr>
            </w:pPr>
            <w:r w:rsidRPr="00C67555">
              <w:rPr>
                <w:rFonts w:cstheme="minorHAnsi"/>
                <w:color w:val="272727"/>
              </w:rPr>
              <w:t>To improve the accuracy of pupils’ written work with a specific focus on sentence and paragraph construction.</w:t>
            </w:r>
          </w:p>
          <w:p w:rsidR="009E2F31" w:rsidRPr="00C67555" w:rsidRDefault="009E2F31" w:rsidP="009E2F31">
            <w:pPr>
              <w:rPr>
                <w:rFonts w:cstheme="minorHAnsi"/>
              </w:rPr>
            </w:pPr>
            <w:r w:rsidRPr="00C67555">
              <w:rPr>
                <w:rFonts w:cstheme="minorHAnsi"/>
                <w:color w:val="272727"/>
              </w:rPr>
              <w:br/>
              <w:t>To widen pupils’ tier 2 vocabulary.</w:t>
            </w:r>
          </w:p>
        </w:tc>
      </w:tr>
      <w:tr w:rsidR="00843ADB" w:rsidRPr="00C67555" w:rsidTr="005B619E">
        <w:tc>
          <w:tcPr>
            <w:tcW w:w="2122" w:type="dxa"/>
          </w:tcPr>
          <w:p w:rsidR="003456A0" w:rsidRPr="00C67555" w:rsidRDefault="00DA23C5" w:rsidP="00CA2D45">
            <w:pPr>
              <w:rPr>
                <w:rFonts w:cstheme="minorHAnsi"/>
                <w:b/>
              </w:rPr>
            </w:pPr>
            <w:r w:rsidRPr="00C67555">
              <w:rPr>
                <w:rFonts w:cstheme="minorHAnsi"/>
                <w:b/>
              </w:rPr>
              <w:lastRenderedPageBreak/>
              <w:t>STEM Enrichment Opportunities</w:t>
            </w:r>
          </w:p>
          <w:p w:rsidR="00DA23C5" w:rsidRPr="00C67555" w:rsidRDefault="00DA23C5" w:rsidP="00DA23C5">
            <w:pPr>
              <w:pStyle w:val="ListParagraph"/>
              <w:numPr>
                <w:ilvl w:val="0"/>
                <w:numId w:val="3"/>
              </w:numPr>
              <w:rPr>
                <w:rFonts w:cstheme="minorHAnsi"/>
              </w:rPr>
            </w:pPr>
            <w:r w:rsidRPr="00C67555">
              <w:rPr>
                <w:rFonts w:cstheme="minorHAnsi"/>
              </w:rPr>
              <w:t>Resource purchase and collation.</w:t>
            </w:r>
          </w:p>
          <w:p w:rsidR="00DA23C5" w:rsidRPr="00C67555" w:rsidRDefault="00DA23C5" w:rsidP="00DA23C5">
            <w:pPr>
              <w:pStyle w:val="ListParagraph"/>
              <w:numPr>
                <w:ilvl w:val="0"/>
                <w:numId w:val="3"/>
              </w:numPr>
              <w:rPr>
                <w:rFonts w:cstheme="minorHAnsi"/>
              </w:rPr>
            </w:pPr>
            <w:r w:rsidRPr="00C67555">
              <w:rPr>
                <w:rFonts w:cstheme="minorHAnsi"/>
              </w:rPr>
              <w:t>Incentivised attendance</w:t>
            </w:r>
          </w:p>
          <w:p w:rsidR="00DA23C5" w:rsidRPr="00C67555" w:rsidRDefault="00DA23C5" w:rsidP="00DA23C5">
            <w:pPr>
              <w:rPr>
                <w:rFonts w:cstheme="minorHAnsi"/>
              </w:rPr>
            </w:pPr>
          </w:p>
        </w:tc>
        <w:tc>
          <w:tcPr>
            <w:tcW w:w="3119" w:type="dxa"/>
          </w:tcPr>
          <w:p w:rsidR="005B619E" w:rsidRPr="00C67555" w:rsidRDefault="005B619E" w:rsidP="00CA2D45">
            <w:pPr>
              <w:rPr>
                <w:rFonts w:cstheme="minorHAnsi"/>
              </w:rPr>
            </w:pPr>
          </w:p>
          <w:p w:rsidR="005B619E" w:rsidRPr="00C67555" w:rsidRDefault="005B619E" w:rsidP="00CA2D45">
            <w:pPr>
              <w:rPr>
                <w:rFonts w:cstheme="minorHAnsi"/>
              </w:rPr>
            </w:pPr>
          </w:p>
          <w:p w:rsidR="003456A0" w:rsidRPr="00C67555" w:rsidRDefault="008A46E0" w:rsidP="00CA2D45">
            <w:pPr>
              <w:rPr>
                <w:rFonts w:cstheme="minorHAnsi"/>
              </w:rPr>
            </w:pPr>
            <w:r w:rsidRPr="00C67555">
              <w:rPr>
                <w:rFonts w:cstheme="minorHAnsi"/>
              </w:rPr>
              <w:t>Maths department provide bespoke opportunities for identified pupils to attend numeracy-based enrichment opportunities that transfer theoretical maths to the real world. Focus is on ‘Problem Solving’ and creative outcomes.</w:t>
            </w:r>
          </w:p>
        </w:tc>
        <w:tc>
          <w:tcPr>
            <w:tcW w:w="1762" w:type="dxa"/>
          </w:tcPr>
          <w:p w:rsidR="003456A0" w:rsidRPr="00C67555" w:rsidRDefault="003456A0" w:rsidP="00CA2D45">
            <w:pPr>
              <w:rPr>
                <w:rFonts w:cstheme="minorHAnsi"/>
              </w:rPr>
            </w:pPr>
          </w:p>
          <w:p w:rsidR="00C67555" w:rsidRPr="00C67555" w:rsidRDefault="00C67555" w:rsidP="00CA2D45">
            <w:pPr>
              <w:rPr>
                <w:rFonts w:cstheme="minorHAnsi"/>
              </w:rPr>
            </w:pPr>
          </w:p>
          <w:p w:rsidR="00C67555" w:rsidRPr="00C67555" w:rsidRDefault="00C67555" w:rsidP="00CA2D45">
            <w:pPr>
              <w:rPr>
                <w:rFonts w:cstheme="minorHAnsi"/>
              </w:rPr>
            </w:pPr>
            <w:r w:rsidRPr="00C67555">
              <w:rPr>
                <w:rFonts w:cstheme="minorHAnsi"/>
              </w:rPr>
              <w:t>Change the direction of policy from increasing interest to “developing capital” – real world application.</w:t>
            </w:r>
          </w:p>
        </w:tc>
        <w:tc>
          <w:tcPr>
            <w:tcW w:w="2013" w:type="dxa"/>
          </w:tcPr>
          <w:p w:rsidR="003456A0" w:rsidRDefault="003456A0" w:rsidP="00CA2D45">
            <w:pPr>
              <w:rPr>
                <w:rFonts w:cstheme="minorHAnsi"/>
              </w:rPr>
            </w:pPr>
          </w:p>
          <w:p w:rsidR="0027535D" w:rsidRDefault="0027535D" w:rsidP="00CA2D45">
            <w:pPr>
              <w:rPr>
                <w:rFonts w:cstheme="minorHAnsi"/>
              </w:rPr>
            </w:pPr>
          </w:p>
          <w:p w:rsidR="0027535D" w:rsidRDefault="0027535D" w:rsidP="00CA2D45">
            <w:pPr>
              <w:rPr>
                <w:rFonts w:cstheme="minorHAnsi"/>
              </w:rPr>
            </w:pPr>
            <w:r>
              <w:rPr>
                <w:rFonts w:cstheme="minorHAnsi"/>
              </w:rPr>
              <w:t>Increase attainment of pupils in Maths.</w:t>
            </w:r>
          </w:p>
          <w:p w:rsidR="0027535D" w:rsidRDefault="0027535D" w:rsidP="00CA2D45">
            <w:pPr>
              <w:rPr>
                <w:rFonts w:cstheme="minorHAnsi"/>
              </w:rPr>
            </w:pPr>
          </w:p>
          <w:p w:rsidR="0027535D" w:rsidRPr="00C67555" w:rsidRDefault="0027535D" w:rsidP="00CA2D45">
            <w:pPr>
              <w:rPr>
                <w:rFonts w:cstheme="minorHAnsi"/>
              </w:rPr>
            </w:pPr>
            <w:r>
              <w:rPr>
                <w:rFonts w:cstheme="minorHAnsi"/>
              </w:rPr>
              <w:t>Increased engagement and happiness of pupils in Maths.</w:t>
            </w:r>
          </w:p>
        </w:tc>
      </w:tr>
      <w:tr w:rsidR="00843ADB" w:rsidRPr="00C67555" w:rsidTr="005B619E">
        <w:tc>
          <w:tcPr>
            <w:tcW w:w="2122" w:type="dxa"/>
          </w:tcPr>
          <w:p w:rsidR="00CA2D45" w:rsidRPr="00C67555" w:rsidRDefault="003456A0" w:rsidP="00CA2D45">
            <w:pPr>
              <w:rPr>
                <w:rFonts w:cstheme="minorHAnsi"/>
                <w:b/>
              </w:rPr>
            </w:pPr>
            <w:r w:rsidRPr="00C67555">
              <w:rPr>
                <w:rFonts w:cstheme="minorHAnsi"/>
                <w:b/>
              </w:rPr>
              <w:t>Reading &amp; Maths additional intervention</w:t>
            </w:r>
          </w:p>
          <w:p w:rsidR="00F35CEC" w:rsidRPr="00C67555" w:rsidRDefault="00F35CEC" w:rsidP="00BF4AE0">
            <w:pPr>
              <w:pStyle w:val="ListParagraph"/>
              <w:numPr>
                <w:ilvl w:val="0"/>
                <w:numId w:val="5"/>
              </w:numPr>
              <w:rPr>
                <w:rFonts w:cstheme="minorHAnsi"/>
              </w:rPr>
            </w:pPr>
            <w:r w:rsidRPr="00C67555">
              <w:rPr>
                <w:rFonts w:cstheme="minorHAnsi"/>
              </w:rPr>
              <w:t>Peer-to-peer (Year 9 HPA pupils)</w:t>
            </w:r>
          </w:p>
          <w:p w:rsidR="00F35CEC" w:rsidRPr="00C67555" w:rsidRDefault="00F35CEC" w:rsidP="00BF4AE0">
            <w:pPr>
              <w:pStyle w:val="ListParagraph"/>
              <w:numPr>
                <w:ilvl w:val="0"/>
                <w:numId w:val="5"/>
              </w:numPr>
              <w:rPr>
                <w:rFonts w:cstheme="minorHAnsi"/>
              </w:rPr>
            </w:pPr>
            <w:r w:rsidRPr="00C67555">
              <w:rPr>
                <w:rFonts w:cstheme="minorHAnsi"/>
              </w:rPr>
              <w:t>PDC-focussed sessions for support</w:t>
            </w:r>
          </w:p>
          <w:p w:rsidR="00BF4AE0" w:rsidRPr="00C67555" w:rsidRDefault="00BF4AE0" w:rsidP="00BF4AE0">
            <w:pPr>
              <w:pStyle w:val="ListParagraph"/>
              <w:numPr>
                <w:ilvl w:val="0"/>
                <w:numId w:val="5"/>
              </w:numPr>
              <w:rPr>
                <w:rFonts w:cstheme="minorHAnsi"/>
              </w:rPr>
            </w:pPr>
            <w:r w:rsidRPr="00C67555">
              <w:rPr>
                <w:rFonts w:cstheme="minorHAnsi"/>
              </w:rPr>
              <w:t>Training of Learning Support Assistants (LSAs) to deliver the intervention.</w:t>
            </w:r>
          </w:p>
          <w:p w:rsidR="00BF4AE0" w:rsidRPr="00C67555" w:rsidRDefault="00BF4AE0" w:rsidP="00BF4AE0">
            <w:pPr>
              <w:pStyle w:val="ListParagraph"/>
              <w:rPr>
                <w:rFonts w:cstheme="minorHAnsi"/>
              </w:rPr>
            </w:pPr>
          </w:p>
        </w:tc>
        <w:tc>
          <w:tcPr>
            <w:tcW w:w="3119" w:type="dxa"/>
          </w:tcPr>
          <w:p w:rsidR="005B619E" w:rsidRPr="00C67555" w:rsidRDefault="005B619E" w:rsidP="00CA2D45">
            <w:pPr>
              <w:rPr>
                <w:rFonts w:cstheme="minorHAnsi"/>
              </w:rPr>
            </w:pPr>
          </w:p>
          <w:p w:rsidR="005B619E" w:rsidRPr="00C67555" w:rsidRDefault="005B619E" w:rsidP="00CA2D45">
            <w:pPr>
              <w:rPr>
                <w:rFonts w:cstheme="minorHAnsi"/>
              </w:rPr>
            </w:pPr>
          </w:p>
          <w:p w:rsidR="005B619E" w:rsidRPr="00C67555" w:rsidRDefault="005B619E" w:rsidP="00CA2D45">
            <w:pPr>
              <w:rPr>
                <w:rFonts w:cstheme="minorHAnsi"/>
              </w:rPr>
            </w:pPr>
          </w:p>
          <w:p w:rsidR="00CA2D45" w:rsidRPr="00C67555" w:rsidRDefault="005B619E" w:rsidP="00CA2D45">
            <w:pPr>
              <w:rPr>
                <w:rFonts w:cstheme="minorHAnsi"/>
              </w:rPr>
            </w:pPr>
            <w:r w:rsidRPr="00C67555">
              <w:rPr>
                <w:rFonts w:cstheme="minorHAnsi"/>
              </w:rPr>
              <w:t>Guided support offered by HPA Y9 pupils to those Y7 pupils needing numeracy catch-up. Programme is computer based and monitored by Maths staff and LSA support.</w:t>
            </w:r>
          </w:p>
        </w:tc>
        <w:tc>
          <w:tcPr>
            <w:tcW w:w="1762" w:type="dxa"/>
          </w:tcPr>
          <w:p w:rsidR="00CA2D45" w:rsidRPr="00C67555" w:rsidRDefault="00CA2D45" w:rsidP="00CA2D45">
            <w:pPr>
              <w:rPr>
                <w:rFonts w:cstheme="minorHAnsi"/>
              </w:rPr>
            </w:pPr>
          </w:p>
        </w:tc>
        <w:tc>
          <w:tcPr>
            <w:tcW w:w="2013" w:type="dxa"/>
          </w:tcPr>
          <w:p w:rsidR="00CA2D45" w:rsidRDefault="00CA2D45" w:rsidP="00CA2D45">
            <w:pPr>
              <w:rPr>
                <w:rFonts w:cstheme="minorHAnsi"/>
              </w:rPr>
            </w:pPr>
          </w:p>
          <w:p w:rsidR="008E24B1" w:rsidRDefault="008E24B1" w:rsidP="00CA2D45">
            <w:pPr>
              <w:rPr>
                <w:rFonts w:cstheme="minorHAnsi"/>
              </w:rPr>
            </w:pPr>
          </w:p>
          <w:p w:rsidR="008E24B1" w:rsidRDefault="008E24B1" w:rsidP="00CA2D45">
            <w:pPr>
              <w:rPr>
                <w:rFonts w:cstheme="minorHAnsi"/>
              </w:rPr>
            </w:pPr>
          </w:p>
          <w:p w:rsidR="008E24B1" w:rsidRPr="00C67555" w:rsidRDefault="008E24B1" w:rsidP="00CA2D45">
            <w:pPr>
              <w:rPr>
                <w:rFonts w:cstheme="minorHAnsi"/>
              </w:rPr>
            </w:pPr>
            <w:r>
              <w:rPr>
                <w:rFonts w:cstheme="minorHAnsi"/>
              </w:rPr>
              <w:t>Increased attainment of focus group pupils.</w:t>
            </w:r>
          </w:p>
        </w:tc>
      </w:tr>
      <w:tr w:rsidR="00843ADB" w:rsidRPr="00C67555" w:rsidTr="005B619E">
        <w:tc>
          <w:tcPr>
            <w:tcW w:w="2122" w:type="dxa"/>
          </w:tcPr>
          <w:p w:rsidR="00A03256" w:rsidRPr="00C67555" w:rsidRDefault="00A03256" w:rsidP="00CA2D45">
            <w:pPr>
              <w:rPr>
                <w:rFonts w:cstheme="minorHAnsi"/>
                <w:b/>
              </w:rPr>
            </w:pPr>
            <w:r w:rsidRPr="00C67555">
              <w:rPr>
                <w:rFonts w:cstheme="minorHAnsi"/>
                <w:b/>
              </w:rPr>
              <w:t xml:space="preserve">Parental Engagement </w:t>
            </w:r>
          </w:p>
        </w:tc>
        <w:tc>
          <w:tcPr>
            <w:tcW w:w="3119" w:type="dxa"/>
          </w:tcPr>
          <w:p w:rsidR="005B619E" w:rsidRPr="00C67555" w:rsidRDefault="005B619E" w:rsidP="005B619E">
            <w:pPr>
              <w:rPr>
                <w:rFonts w:cstheme="minorHAnsi"/>
              </w:rPr>
            </w:pPr>
          </w:p>
          <w:p w:rsidR="005B619E" w:rsidRPr="00C67555" w:rsidRDefault="005B619E" w:rsidP="005B619E">
            <w:pPr>
              <w:rPr>
                <w:rFonts w:cstheme="minorHAnsi"/>
              </w:rPr>
            </w:pPr>
            <w:r w:rsidRPr="00C67555">
              <w:rPr>
                <w:rFonts w:cstheme="minorHAnsi"/>
              </w:rPr>
              <w:t>Engagement with parents at parental workshops to develop their own literacy and numeracy skills. Following this, there will also be strategies shared for parents in how to support their child’s learning at home.</w:t>
            </w:r>
          </w:p>
          <w:p w:rsidR="00A03256" w:rsidRPr="00C67555" w:rsidRDefault="00A03256" w:rsidP="005B619E">
            <w:pPr>
              <w:rPr>
                <w:rFonts w:cstheme="minorHAnsi"/>
              </w:rPr>
            </w:pPr>
          </w:p>
        </w:tc>
        <w:tc>
          <w:tcPr>
            <w:tcW w:w="1762" w:type="dxa"/>
          </w:tcPr>
          <w:p w:rsidR="00A03256" w:rsidRPr="00C67555" w:rsidRDefault="00A03256" w:rsidP="00CA2D45">
            <w:pPr>
              <w:rPr>
                <w:rFonts w:cstheme="minorHAnsi"/>
              </w:rPr>
            </w:pPr>
          </w:p>
        </w:tc>
        <w:tc>
          <w:tcPr>
            <w:tcW w:w="2013" w:type="dxa"/>
          </w:tcPr>
          <w:p w:rsidR="00A03256" w:rsidRDefault="00A03256" w:rsidP="00CA2D45">
            <w:pPr>
              <w:rPr>
                <w:rFonts w:cstheme="minorHAnsi"/>
              </w:rPr>
            </w:pPr>
          </w:p>
          <w:p w:rsidR="008E24B1" w:rsidRDefault="008E24B1" w:rsidP="00CA2D45">
            <w:pPr>
              <w:rPr>
                <w:rFonts w:cstheme="minorHAnsi"/>
              </w:rPr>
            </w:pPr>
            <w:r>
              <w:rPr>
                <w:rFonts w:cstheme="minorHAnsi"/>
              </w:rPr>
              <w:t>Increased attainment of focus group pupils.</w:t>
            </w:r>
          </w:p>
          <w:p w:rsidR="008E24B1" w:rsidRDefault="008E24B1" w:rsidP="00CA2D45">
            <w:pPr>
              <w:rPr>
                <w:rFonts w:cstheme="minorHAnsi"/>
              </w:rPr>
            </w:pPr>
          </w:p>
          <w:p w:rsidR="008E24B1" w:rsidRPr="00C67555" w:rsidRDefault="008E24B1" w:rsidP="00CA2D45">
            <w:pPr>
              <w:rPr>
                <w:rFonts w:cstheme="minorHAnsi"/>
              </w:rPr>
            </w:pPr>
            <w:r>
              <w:rPr>
                <w:rFonts w:cstheme="minorHAnsi"/>
              </w:rPr>
              <w:t>Increased engagement of focus group parents.</w:t>
            </w:r>
          </w:p>
        </w:tc>
      </w:tr>
      <w:tr w:rsidR="00843ADB" w:rsidRPr="00C67555" w:rsidTr="005B619E">
        <w:tc>
          <w:tcPr>
            <w:tcW w:w="2122" w:type="dxa"/>
          </w:tcPr>
          <w:p w:rsidR="00CA2D45" w:rsidRPr="00C67555" w:rsidRDefault="003456A0" w:rsidP="003456A0">
            <w:pPr>
              <w:rPr>
                <w:rFonts w:cstheme="minorHAnsi"/>
                <w:b/>
              </w:rPr>
            </w:pPr>
            <w:r w:rsidRPr="00C67555">
              <w:rPr>
                <w:rFonts w:cstheme="minorHAnsi"/>
                <w:b/>
              </w:rPr>
              <w:t xml:space="preserve">Outward Bound Weekend Course </w:t>
            </w:r>
          </w:p>
        </w:tc>
        <w:tc>
          <w:tcPr>
            <w:tcW w:w="3119" w:type="dxa"/>
          </w:tcPr>
          <w:p w:rsidR="005B619E" w:rsidRPr="00C67555" w:rsidRDefault="005B619E" w:rsidP="00CA2D45">
            <w:pPr>
              <w:rPr>
                <w:rFonts w:cstheme="minorHAnsi"/>
              </w:rPr>
            </w:pPr>
          </w:p>
          <w:p w:rsidR="00CA2D45" w:rsidRPr="00C67555" w:rsidRDefault="005B619E" w:rsidP="00CA2D45">
            <w:pPr>
              <w:rPr>
                <w:rFonts w:cstheme="minorHAnsi"/>
              </w:rPr>
            </w:pPr>
            <w:r w:rsidRPr="00C67555">
              <w:rPr>
                <w:rFonts w:cstheme="minorHAnsi"/>
              </w:rPr>
              <w:t>Outdoor education designed to promote s</w:t>
            </w:r>
            <w:r w:rsidR="0037718B" w:rsidRPr="00C67555">
              <w:rPr>
                <w:rFonts w:cstheme="minorHAnsi"/>
              </w:rPr>
              <w:t>elf-</w:t>
            </w:r>
            <w:r w:rsidRPr="00C67555">
              <w:rPr>
                <w:rFonts w:cstheme="minorHAnsi"/>
              </w:rPr>
              <w:t>c</w:t>
            </w:r>
            <w:r w:rsidR="0037718B" w:rsidRPr="00C67555">
              <w:rPr>
                <w:rFonts w:cstheme="minorHAnsi"/>
              </w:rPr>
              <w:t>onfidence</w:t>
            </w:r>
            <w:r w:rsidRPr="00C67555">
              <w:rPr>
                <w:rFonts w:cstheme="minorHAnsi"/>
              </w:rPr>
              <w:t>, r</w:t>
            </w:r>
            <w:r w:rsidR="0037718B" w:rsidRPr="00C67555">
              <w:rPr>
                <w:rFonts w:cstheme="minorHAnsi"/>
              </w:rPr>
              <w:t>esilience</w:t>
            </w:r>
            <w:r w:rsidRPr="00C67555">
              <w:rPr>
                <w:rFonts w:cstheme="minorHAnsi"/>
              </w:rPr>
              <w:t xml:space="preserve"> and p</w:t>
            </w:r>
            <w:r w:rsidR="0037718B" w:rsidRPr="00C67555">
              <w:rPr>
                <w:rFonts w:cstheme="minorHAnsi"/>
              </w:rPr>
              <w:t>roblem</w:t>
            </w:r>
            <w:r w:rsidRPr="00C67555">
              <w:rPr>
                <w:rFonts w:cstheme="minorHAnsi"/>
              </w:rPr>
              <w:t xml:space="preserve"> s</w:t>
            </w:r>
            <w:r w:rsidR="0037718B" w:rsidRPr="00C67555">
              <w:rPr>
                <w:rFonts w:cstheme="minorHAnsi"/>
              </w:rPr>
              <w:t>olving</w:t>
            </w:r>
            <w:r w:rsidRPr="00C67555">
              <w:rPr>
                <w:rFonts w:cstheme="minorHAnsi"/>
              </w:rPr>
              <w:t>. There will also be additional Literacy and Numeracy support provided as part of the course. Outcomes have been designed specifically to build the resilience of these pupils who may well encounter difficulties with learning throughout second</w:t>
            </w:r>
            <w:bookmarkStart w:id="0" w:name="_GoBack"/>
            <w:bookmarkEnd w:id="0"/>
            <w:r w:rsidRPr="00C67555">
              <w:rPr>
                <w:rFonts w:cstheme="minorHAnsi"/>
              </w:rPr>
              <w:t>ary education.</w:t>
            </w:r>
          </w:p>
        </w:tc>
        <w:tc>
          <w:tcPr>
            <w:tcW w:w="1762" w:type="dxa"/>
          </w:tcPr>
          <w:p w:rsidR="00DB14E8" w:rsidRPr="00C67555" w:rsidRDefault="00DB14E8" w:rsidP="00CA2D45">
            <w:pPr>
              <w:rPr>
                <w:rFonts w:cstheme="minorHAnsi"/>
              </w:rPr>
            </w:pPr>
          </w:p>
          <w:p w:rsidR="00CA2D45" w:rsidRPr="00C67555" w:rsidRDefault="005E2259" w:rsidP="00CA2D45">
            <w:pPr>
              <w:rPr>
                <w:rFonts w:cstheme="minorHAnsi"/>
              </w:rPr>
            </w:pPr>
            <w:r w:rsidRPr="00C67555">
              <w:rPr>
                <w:rFonts w:cstheme="minorHAnsi"/>
              </w:rPr>
              <w:t>Outdoor education provides young people with the attitudes, skills and behaviours they need to make positive changes in their lives.</w:t>
            </w:r>
          </w:p>
        </w:tc>
        <w:tc>
          <w:tcPr>
            <w:tcW w:w="2013" w:type="dxa"/>
          </w:tcPr>
          <w:p w:rsidR="00DB14E8" w:rsidRPr="00C67555" w:rsidRDefault="00DB14E8" w:rsidP="00CA2D45">
            <w:pPr>
              <w:rPr>
                <w:rFonts w:cstheme="minorHAnsi"/>
              </w:rPr>
            </w:pPr>
          </w:p>
          <w:p w:rsidR="00CA2D45" w:rsidRPr="00C67555" w:rsidRDefault="0037718B" w:rsidP="00CA2D45">
            <w:pPr>
              <w:rPr>
                <w:rFonts w:cstheme="minorHAnsi"/>
              </w:rPr>
            </w:pPr>
            <w:r w:rsidRPr="00C67555">
              <w:rPr>
                <w:rFonts w:cstheme="minorHAnsi"/>
              </w:rPr>
              <w:t>Pupils are more confident. Pupils are able to solve problems in an appropriate manner and seek help when necessary.</w:t>
            </w:r>
          </w:p>
        </w:tc>
      </w:tr>
    </w:tbl>
    <w:p w:rsidR="00CA2D45" w:rsidRPr="00C67555" w:rsidRDefault="00CA2D45" w:rsidP="00325334">
      <w:pPr>
        <w:rPr>
          <w:rFonts w:cstheme="minorHAnsi"/>
        </w:rPr>
      </w:pPr>
    </w:p>
    <w:sectPr w:rsidR="00CA2D45" w:rsidRPr="00C675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55E98"/>
    <w:multiLevelType w:val="hybridMultilevel"/>
    <w:tmpl w:val="8194A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8A128C"/>
    <w:multiLevelType w:val="hybridMultilevel"/>
    <w:tmpl w:val="84960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B44756"/>
    <w:multiLevelType w:val="hybridMultilevel"/>
    <w:tmpl w:val="07D24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232E39"/>
    <w:multiLevelType w:val="multilevel"/>
    <w:tmpl w:val="04D01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D87244B"/>
    <w:multiLevelType w:val="multilevel"/>
    <w:tmpl w:val="1C16C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C360261"/>
    <w:multiLevelType w:val="hybridMultilevel"/>
    <w:tmpl w:val="CF7C4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C7D"/>
    <w:rsid w:val="00016D58"/>
    <w:rsid w:val="00026B87"/>
    <w:rsid w:val="0027535D"/>
    <w:rsid w:val="00325334"/>
    <w:rsid w:val="003456A0"/>
    <w:rsid w:val="0037718B"/>
    <w:rsid w:val="005B619E"/>
    <w:rsid w:val="005E2259"/>
    <w:rsid w:val="006742CB"/>
    <w:rsid w:val="006C5C7D"/>
    <w:rsid w:val="00843ADB"/>
    <w:rsid w:val="00864820"/>
    <w:rsid w:val="008A46E0"/>
    <w:rsid w:val="008E24B1"/>
    <w:rsid w:val="009E2F31"/>
    <w:rsid w:val="00A03256"/>
    <w:rsid w:val="00BF4AE0"/>
    <w:rsid w:val="00C67555"/>
    <w:rsid w:val="00C74FE5"/>
    <w:rsid w:val="00CA2D45"/>
    <w:rsid w:val="00CA59B7"/>
    <w:rsid w:val="00DA23C5"/>
    <w:rsid w:val="00DB14E8"/>
    <w:rsid w:val="00DF4D46"/>
    <w:rsid w:val="00EA62B7"/>
    <w:rsid w:val="00F35CEC"/>
    <w:rsid w:val="00FB5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41CBB"/>
  <w15:chartTrackingRefBased/>
  <w15:docId w15:val="{8BFB8F98-FC02-475A-9FB7-F2092A41F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2D45"/>
    <w:rPr>
      <w:color w:val="0000FF"/>
      <w:u w:val="single"/>
    </w:rPr>
  </w:style>
  <w:style w:type="paragraph" w:styleId="NormalWeb">
    <w:name w:val="Normal (Web)"/>
    <w:basedOn w:val="Normal"/>
    <w:uiPriority w:val="99"/>
    <w:semiHidden/>
    <w:unhideWhenUsed/>
    <w:rsid w:val="00CA2D4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CA2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23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55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uidance/year-7-literacy-and-numeracy-catch-up-premium-guide-for-schools"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3</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Walsh</dc:creator>
  <cp:keywords/>
  <dc:description/>
  <cp:lastModifiedBy>Sam Walsh</cp:lastModifiedBy>
  <cp:revision>22</cp:revision>
  <dcterms:created xsi:type="dcterms:W3CDTF">2019-11-14T11:24:00Z</dcterms:created>
  <dcterms:modified xsi:type="dcterms:W3CDTF">2019-11-14T15:13:00Z</dcterms:modified>
</cp:coreProperties>
</file>