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B7" w:rsidRPr="00C67555" w:rsidRDefault="00CA2D45">
      <w:pPr>
        <w:rPr>
          <w:rFonts w:cstheme="minorHAnsi"/>
        </w:rPr>
      </w:pPr>
      <w:bookmarkStart w:id="0" w:name="_GoBack"/>
      <w:bookmarkEnd w:id="0"/>
      <w:r w:rsidRPr="00C67555">
        <w:rPr>
          <w:rFonts w:cstheme="minorHAnsi"/>
          <w:noProof/>
        </w:rPr>
        <w:drawing>
          <wp:inline distT="0" distB="0" distL="0" distR="0" wp14:anchorId="570279DB" wp14:editId="15099923">
            <wp:extent cx="5731510" cy="1280151"/>
            <wp:effectExtent l="0" t="0" r="2540" b="0"/>
            <wp:docPr id="2" name="image1.jpg" descr="Image result for dean trust rose bri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dean trust rose brid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0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D45" w:rsidRPr="00C67555" w:rsidRDefault="00CA2D45">
      <w:pPr>
        <w:rPr>
          <w:rFonts w:cstheme="minorHAnsi"/>
        </w:rPr>
      </w:pPr>
    </w:p>
    <w:p w:rsidR="00CA2D45" w:rsidRPr="00C67555" w:rsidRDefault="00CA2D45" w:rsidP="00CA2D45">
      <w:pPr>
        <w:jc w:val="center"/>
        <w:rPr>
          <w:rFonts w:cstheme="minorHAnsi"/>
          <w:b/>
          <w:u w:val="single"/>
        </w:rPr>
      </w:pPr>
      <w:r w:rsidRPr="00C67555">
        <w:rPr>
          <w:rFonts w:cstheme="minorHAnsi"/>
          <w:b/>
          <w:u w:val="single"/>
        </w:rPr>
        <w:t>Dean Trust Rose Bridge Catch Up Strategy (201</w:t>
      </w:r>
      <w:r w:rsidR="0065100E">
        <w:rPr>
          <w:rFonts w:cstheme="minorHAnsi"/>
          <w:b/>
          <w:u w:val="single"/>
        </w:rPr>
        <w:t>8</w:t>
      </w:r>
      <w:r w:rsidRPr="00C67555">
        <w:rPr>
          <w:rFonts w:cstheme="minorHAnsi"/>
          <w:b/>
          <w:u w:val="single"/>
        </w:rPr>
        <w:t>-20</w:t>
      </w:r>
      <w:r w:rsidR="0065100E">
        <w:rPr>
          <w:rFonts w:cstheme="minorHAnsi"/>
          <w:b/>
          <w:u w:val="single"/>
        </w:rPr>
        <w:t>19</w:t>
      </w:r>
      <w:r w:rsidRPr="00C67555">
        <w:rPr>
          <w:rFonts w:cstheme="minorHAnsi"/>
          <w:b/>
          <w:u w:val="single"/>
        </w:rPr>
        <w:t>)</w:t>
      </w:r>
    </w:p>
    <w:p w:rsidR="00CA2D45" w:rsidRPr="00C67555" w:rsidRDefault="00CA2D45" w:rsidP="00CA2D45">
      <w:pPr>
        <w:rPr>
          <w:rFonts w:cstheme="minorHAnsi"/>
        </w:rPr>
      </w:pPr>
      <w:r w:rsidRPr="00C67555">
        <w:rPr>
          <w:rFonts w:cstheme="minorHAnsi"/>
        </w:rPr>
        <w:t xml:space="preserve">The Literacy and Numeracy Catch-Up Funding (“Catch Up”) is additional funding provided to schools in order to support these schools in providing additional support to Year 7 pupils who did not achieve the expected standard in reading, or maths, at the end of Key-Stage 2 (“KS2”). </w:t>
      </w:r>
      <w:r w:rsidR="0037718B" w:rsidRPr="00C67555">
        <w:rPr>
          <w:rFonts w:cstheme="minorHAnsi"/>
        </w:rPr>
        <w:t xml:space="preserve">Schools have </w:t>
      </w:r>
      <w:r w:rsidRPr="00C67555">
        <w:rPr>
          <w:rFonts w:cstheme="minorHAnsi"/>
        </w:rPr>
        <w:t xml:space="preserve">autonomy in how they spend this funding, but should select programmes and approaches that are known to be effective. For further details, please see the following Department for Education Link: </w:t>
      </w:r>
      <w:hyperlink r:id="rId6" w:history="1">
        <w:r w:rsidRPr="00C67555">
          <w:rPr>
            <w:rStyle w:val="Hyperlink"/>
            <w:rFonts w:cstheme="minorHAnsi"/>
          </w:rPr>
          <w:t>https://www.gov.uk/guidance/year-7-literacy-and-numeracy-catch-up-premium-guide-for-schools</w:t>
        </w:r>
      </w:hyperlink>
      <w:r w:rsidRPr="00C6755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48"/>
        <w:gridCol w:w="894"/>
        <w:gridCol w:w="235"/>
        <w:gridCol w:w="3252"/>
        <w:gridCol w:w="1224"/>
      </w:tblGrid>
      <w:tr w:rsidR="00864820" w:rsidRPr="00C67555" w:rsidTr="00C74FE5">
        <w:tc>
          <w:tcPr>
            <w:tcW w:w="2263" w:type="dxa"/>
            <w:vMerge w:val="restart"/>
            <w:vAlign w:val="center"/>
          </w:tcPr>
          <w:p w:rsidR="00864820" w:rsidRPr="00C67555" w:rsidRDefault="00864820" w:rsidP="00C74FE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DTRB ‘Catch Up’ allocation (1</w:t>
            </w:r>
            <w:r w:rsidR="0065100E">
              <w:rPr>
                <w:rFonts w:cstheme="minorHAnsi"/>
              </w:rPr>
              <w:t>8</w:t>
            </w:r>
            <w:r w:rsidRPr="00C67555">
              <w:rPr>
                <w:rFonts w:cstheme="minorHAnsi"/>
              </w:rPr>
              <w:t>/</w:t>
            </w:r>
            <w:r w:rsidR="0065100E">
              <w:rPr>
                <w:rFonts w:cstheme="minorHAnsi"/>
              </w:rPr>
              <w:t>19</w:t>
            </w:r>
            <w:r w:rsidRPr="00C67555">
              <w:rPr>
                <w:rFonts w:cstheme="minorHAnsi"/>
              </w:rPr>
              <w:t>)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  <w:vAlign w:val="center"/>
          </w:tcPr>
          <w:p w:rsidR="00864820" w:rsidRPr="00C67555" w:rsidRDefault="00DF4D46" w:rsidP="00C74FE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£1</w:t>
            </w:r>
            <w:r w:rsidR="0065100E">
              <w:rPr>
                <w:rFonts w:cstheme="minorHAnsi"/>
              </w:rPr>
              <w:t>7</w:t>
            </w:r>
            <w:r w:rsidRPr="00C67555">
              <w:rPr>
                <w:rFonts w:cstheme="minorHAnsi"/>
              </w:rPr>
              <w:t>,5</w:t>
            </w:r>
            <w:r w:rsidR="0065100E">
              <w:rPr>
                <w:rFonts w:cstheme="minorHAnsi"/>
              </w:rPr>
              <w:t>29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Year 7 Pupils ‘On Roll’</w:t>
            </w:r>
          </w:p>
        </w:tc>
        <w:tc>
          <w:tcPr>
            <w:tcW w:w="1224" w:type="dxa"/>
          </w:tcPr>
          <w:p w:rsidR="00864820" w:rsidRPr="00C67555" w:rsidRDefault="00DF4D46" w:rsidP="00CA2D4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1</w:t>
            </w:r>
            <w:r w:rsidR="0065100E">
              <w:rPr>
                <w:rFonts w:cstheme="minorHAnsi"/>
              </w:rPr>
              <w:t>38</w:t>
            </w:r>
            <w:r w:rsidR="00106DE5">
              <w:rPr>
                <w:rFonts w:cstheme="minorHAnsi"/>
              </w:rPr>
              <w:t xml:space="preserve"> </w:t>
            </w:r>
            <w:r w:rsidR="00106DE5" w:rsidRPr="00106DE5">
              <w:rPr>
                <w:rFonts w:cstheme="minorHAnsi"/>
                <w:i/>
                <w:sz w:val="14"/>
              </w:rPr>
              <w:t>(6 without data)</w:t>
            </w:r>
          </w:p>
        </w:tc>
      </w:tr>
      <w:tr w:rsidR="00864820" w:rsidRPr="00C67555" w:rsidTr="00FB576D">
        <w:tc>
          <w:tcPr>
            <w:tcW w:w="2263" w:type="dxa"/>
            <w:vMerge/>
          </w:tcPr>
          <w:p w:rsidR="00864820" w:rsidRPr="00C67555" w:rsidRDefault="00864820" w:rsidP="0037718B">
            <w:pPr>
              <w:rPr>
                <w:rFonts w:cstheme="minorHAnsi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Year 7 Pupils below ES (Reading)</w:t>
            </w:r>
          </w:p>
        </w:tc>
        <w:tc>
          <w:tcPr>
            <w:tcW w:w="1224" w:type="dxa"/>
          </w:tcPr>
          <w:p w:rsidR="00864820" w:rsidRPr="00C67555" w:rsidRDefault="0065100E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106DE5">
              <w:rPr>
                <w:rFonts w:cstheme="minorHAnsi"/>
              </w:rPr>
              <w:t xml:space="preserve"> (18.9%)</w:t>
            </w:r>
          </w:p>
        </w:tc>
      </w:tr>
      <w:tr w:rsidR="00864820" w:rsidRPr="00C67555" w:rsidTr="00FB576D">
        <w:tc>
          <w:tcPr>
            <w:tcW w:w="2263" w:type="dxa"/>
            <w:vMerge/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Year 7 Pupils below ES (Math</w:t>
            </w:r>
            <w:r w:rsidR="00FB576D" w:rsidRPr="00C67555">
              <w:rPr>
                <w:rFonts w:cstheme="minorHAnsi"/>
              </w:rPr>
              <w:t>s</w:t>
            </w:r>
            <w:r w:rsidRPr="00C67555">
              <w:rPr>
                <w:rFonts w:cstheme="minorHAnsi"/>
              </w:rPr>
              <w:t>)</w:t>
            </w:r>
          </w:p>
        </w:tc>
        <w:tc>
          <w:tcPr>
            <w:tcW w:w="1224" w:type="dxa"/>
          </w:tcPr>
          <w:p w:rsidR="00864820" w:rsidRPr="00C67555" w:rsidRDefault="0065100E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106DE5">
              <w:rPr>
                <w:rFonts w:cstheme="minorHAnsi"/>
              </w:rPr>
              <w:t xml:space="preserve"> (24.2%)</w:t>
            </w:r>
          </w:p>
        </w:tc>
      </w:tr>
      <w:tr w:rsidR="00864820" w:rsidRPr="00C67555" w:rsidTr="00FB576D">
        <w:tc>
          <w:tcPr>
            <w:tcW w:w="2263" w:type="dxa"/>
            <w:vMerge/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864820" w:rsidRPr="00C67555" w:rsidRDefault="00864820" w:rsidP="00CA2D45">
            <w:pPr>
              <w:rPr>
                <w:rFonts w:cstheme="minorHAnsi"/>
              </w:rPr>
            </w:pPr>
            <w:r w:rsidRPr="00C67555">
              <w:rPr>
                <w:rFonts w:cstheme="minorHAnsi"/>
              </w:rPr>
              <w:t>Year 7 pupils below ES (Both)</w:t>
            </w:r>
          </w:p>
        </w:tc>
        <w:tc>
          <w:tcPr>
            <w:tcW w:w="1224" w:type="dxa"/>
          </w:tcPr>
          <w:p w:rsidR="00864820" w:rsidRPr="00C67555" w:rsidRDefault="0065100E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06DE5">
              <w:rPr>
                <w:rFonts w:cstheme="minorHAnsi"/>
              </w:rPr>
              <w:t xml:space="preserve"> (14.4%)</w:t>
            </w:r>
          </w:p>
        </w:tc>
      </w:tr>
    </w:tbl>
    <w:p w:rsidR="00CA2D45" w:rsidRPr="00C67555" w:rsidRDefault="00CA2D45" w:rsidP="00CA2D4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9"/>
        <w:gridCol w:w="1762"/>
        <w:gridCol w:w="2013"/>
      </w:tblGrid>
      <w:tr w:rsidR="00843ADB" w:rsidRPr="00C67555" w:rsidTr="005B619E">
        <w:tc>
          <w:tcPr>
            <w:tcW w:w="2122" w:type="dxa"/>
            <w:shd w:val="clear" w:color="auto" w:fill="D9D9D9" w:themeFill="background1" w:themeFillShade="D9"/>
          </w:tcPr>
          <w:p w:rsidR="00CA2D45" w:rsidRPr="00C67555" w:rsidRDefault="00CA2D45" w:rsidP="00CA2D45">
            <w:pPr>
              <w:rPr>
                <w:rFonts w:cstheme="minorHAnsi"/>
                <w:b/>
              </w:rPr>
            </w:pPr>
            <w:r w:rsidRPr="00C67555">
              <w:rPr>
                <w:rFonts w:cstheme="minorHAnsi"/>
                <w:b/>
              </w:rPr>
              <w:t>Strategy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A2D45" w:rsidRPr="00C67555" w:rsidRDefault="00CA2D45" w:rsidP="00CA2D45">
            <w:pPr>
              <w:rPr>
                <w:rFonts w:cstheme="minorHAnsi"/>
                <w:b/>
              </w:rPr>
            </w:pPr>
            <w:r w:rsidRPr="00C67555">
              <w:rPr>
                <w:rFonts w:cstheme="minorHAnsi"/>
                <w:b/>
              </w:rPr>
              <w:t>Details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CA2D45" w:rsidRPr="00C67555" w:rsidRDefault="00CA2D45" w:rsidP="00CA2D45">
            <w:pPr>
              <w:rPr>
                <w:rFonts w:cstheme="minorHAnsi"/>
                <w:b/>
              </w:rPr>
            </w:pPr>
            <w:r w:rsidRPr="00C67555">
              <w:rPr>
                <w:rFonts w:cstheme="minorHAnsi"/>
                <w:b/>
              </w:rPr>
              <w:t>Rationale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CA2D45" w:rsidRPr="00C67555" w:rsidRDefault="00CA2D45" w:rsidP="00CA2D45">
            <w:pPr>
              <w:rPr>
                <w:rFonts w:cstheme="minorHAnsi"/>
                <w:b/>
              </w:rPr>
            </w:pPr>
            <w:r w:rsidRPr="00C67555">
              <w:rPr>
                <w:rFonts w:cstheme="minorHAnsi"/>
                <w:b/>
              </w:rPr>
              <w:t>Impact</w:t>
            </w:r>
          </w:p>
        </w:tc>
      </w:tr>
      <w:tr w:rsidR="00843ADB" w:rsidRPr="00C67555" w:rsidTr="005B619E">
        <w:tc>
          <w:tcPr>
            <w:tcW w:w="2122" w:type="dxa"/>
          </w:tcPr>
          <w:p w:rsidR="00DA23C5" w:rsidRDefault="0065100E" w:rsidP="00CA2D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Support Assistant</w:t>
            </w:r>
          </w:p>
          <w:p w:rsidR="0065100E" w:rsidRDefault="0065100E" w:rsidP="00CA2D45">
            <w:pPr>
              <w:rPr>
                <w:rFonts w:cstheme="minorHAnsi"/>
                <w:b/>
              </w:rPr>
            </w:pPr>
          </w:p>
          <w:p w:rsidR="0065100E" w:rsidRPr="0065100E" w:rsidRDefault="0065100E" w:rsidP="00CA2D4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CA2D45" w:rsidRDefault="00106DE5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Learning Support Assistants to support the teaching and learning of all pupils with below </w:t>
            </w:r>
            <w:proofErr w:type="gramStart"/>
            <w:r>
              <w:rPr>
                <w:rFonts w:cstheme="minorHAnsi"/>
              </w:rPr>
              <w:t>age related</w:t>
            </w:r>
            <w:proofErr w:type="gramEnd"/>
            <w:r>
              <w:rPr>
                <w:rFonts w:cstheme="minorHAnsi"/>
              </w:rPr>
              <w:t xml:space="preserve"> expectations.</w:t>
            </w:r>
          </w:p>
          <w:p w:rsidR="005C186F" w:rsidRPr="005C186F" w:rsidRDefault="005C186F" w:rsidP="005C186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C186F">
              <w:rPr>
                <w:rFonts w:cstheme="minorHAnsi"/>
              </w:rPr>
              <w:t xml:space="preserve">Better Reading Programme </w:t>
            </w:r>
          </w:p>
        </w:tc>
        <w:tc>
          <w:tcPr>
            <w:tcW w:w="1762" w:type="dxa"/>
          </w:tcPr>
          <w:p w:rsidR="00026B87" w:rsidRPr="00C67555" w:rsidRDefault="00490810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pupils with personalised help to enable them to access the curriculum in all areas.</w:t>
            </w:r>
          </w:p>
        </w:tc>
        <w:tc>
          <w:tcPr>
            <w:tcW w:w="2013" w:type="dxa"/>
          </w:tcPr>
          <w:p w:rsidR="009E2F31" w:rsidRDefault="00106DE5" w:rsidP="009E2F31">
            <w:pPr>
              <w:rPr>
                <w:rFonts w:cstheme="minorHAnsi"/>
              </w:rPr>
            </w:pPr>
            <w:r>
              <w:rPr>
                <w:rFonts w:cstheme="minorHAnsi"/>
              </w:rPr>
              <w:t>Qualitative feedback from pupils and staff noted increased resilience and confidence with the curriculum because of increased instruction time and differentiated support.</w:t>
            </w:r>
          </w:p>
          <w:p w:rsidR="00106DE5" w:rsidRPr="00C67555" w:rsidRDefault="00106DE5" w:rsidP="009E2F31">
            <w:pPr>
              <w:rPr>
                <w:rFonts w:cstheme="minorHAnsi"/>
              </w:rPr>
            </w:pPr>
          </w:p>
        </w:tc>
      </w:tr>
      <w:tr w:rsidR="00843ADB" w:rsidRPr="00C67555" w:rsidTr="005B619E">
        <w:tc>
          <w:tcPr>
            <w:tcW w:w="2122" w:type="dxa"/>
          </w:tcPr>
          <w:p w:rsidR="00DA23C5" w:rsidRDefault="0065100E" w:rsidP="00DA23C5">
            <w:pPr>
              <w:rPr>
                <w:rFonts w:cstheme="minorHAnsi"/>
                <w:b/>
              </w:rPr>
            </w:pPr>
            <w:r w:rsidRPr="0065100E">
              <w:rPr>
                <w:rFonts w:cstheme="minorHAnsi"/>
                <w:b/>
              </w:rPr>
              <w:t>Additional Intervention</w:t>
            </w:r>
            <w:r w:rsidR="00106DE5">
              <w:rPr>
                <w:rFonts w:cstheme="minorHAnsi"/>
                <w:b/>
              </w:rPr>
              <w:t xml:space="preserve"> in Maths and English</w:t>
            </w:r>
          </w:p>
          <w:p w:rsidR="0065100E" w:rsidRDefault="0065100E" w:rsidP="00DA23C5">
            <w:pPr>
              <w:rPr>
                <w:rFonts w:cstheme="minorHAnsi"/>
                <w:b/>
              </w:rPr>
            </w:pPr>
          </w:p>
          <w:p w:rsidR="0065100E" w:rsidRPr="0065100E" w:rsidRDefault="0065100E" w:rsidP="00DA23C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3456A0" w:rsidRDefault="0065100E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Small group and one-to-one expert instruction from teachers and members of staff trained in that area.</w:t>
            </w:r>
          </w:p>
          <w:p w:rsidR="005C186F" w:rsidRPr="005C186F" w:rsidRDefault="005C186F" w:rsidP="005C186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C186F">
              <w:rPr>
                <w:rFonts w:cstheme="minorHAnsi"/>
              </w:rPr>
              <w:t>Fresh Start Phonics</w:t>
            </w:r>
          </w:p>
          <w:p w:rsidR="005C186F" w:rsidRPr="005C186F" w:rsidRDefault="005C186F" w:rsidP="005C186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C186F">
              <w:rPr>
                <w:rFonts w:cstheme="minorHAnsi"/>
              </w:rPr>
              <w:t xml:space="preserve">Catch Up Reading </w:t>
            </w:r>
          </w:p>
          <w:p w:rsidR="005C186F" w:rsidRPr="005C186F" w:rsidRDefault="005C186F" w:rsidP="005C186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C186F">
              <w:rPr>
                <w:rFonts w:cstheme="minorHAnsi"/>
              </w:rPr>
              <w:t xml:space="preserve">Maths Recovery </w:t>
            </w:r>
          </w:p>
          <w:p w:rsidR="0065100E" w:rsidRPr="00C67555" w:rsidRDefault="0065100E" w:rsidP="00CA2D45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C67555" w:rsidRDefault="00765D5C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Oversight of intervention strategies by one member of staff enables holistic support and support for pupils in their specific area of need.</w:t>
            </w:r>
          </w:p>
          <w:p w:rsidR="00765D5C" w:rsidRPr="00C67555" w:rsidRDefault="00765D5C" w:rsidP="00CA2D45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:rsidR="0027535D" w:rsidRDefault="00106DE5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All pupils were able to access the Year 7 curriculum by the end of the year laying a firm foundation ahead of further KS3 study.</w:t>
            </w:r>
          </w:p>
          <w:p w:rsidR="00106DE5" w:rsidRPr="00C67555" w:rsidRDefault="00106DE5" w:rsidP="00CA2D45">
            <w:pPr>
              <w:rPr>
                <w:rFonts w:cstheme="minorHAnsi"/>
              </w:rPr>
            </w:pPr>
          </w:p>
        </w:tc>
      </w:tr>
      <w:tr w:rsidR="0065100E" w:rsidRPr="00C67555" w:rsidTr="005B619E">
        <w:tc>
          <w:tcPr>
            <w:tcW w:w="2122" w:type="dxa"/>
          </w:tcPr>
          <w:p w:rsidR="0065100E" w:rsidRDefault="0065100E" w:rsidP="00DA2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 Plus+</w:t>
            </w:r>
          </w:p>
          <w:p w:rsidR="0065100E" w:rsidRDefault="0065100E" w:rsidP="00DA23C5">
            <w:pPr>
              <w:rPr>
                <w:rFonts w:cstheme="minorHAnsi"/>
                <w:b/>
              </w:rPr>
            </w:pPr>
          </w:p>
          <w:p w:rsidR="0065100E" w:rsidRPr="0065100E" w:rsidRDefault="0065100E" w:rsidP="00DA23C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65100E" w:rsidRDefault="0065100E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Access to Reading Plus+ intervention programme and </w:t>
            </w:r>
            <w:r>
              <w:rPr>
                <w:rFonts w:cstheme="minorHAnsi"/>
              </w:rPr>
              <w:lastRenderedPageBreak/>
              <w:t>specialist delivery by HLTA and LSA team.</w:t>
            </w:r>
          </w:p>
          <w:p w:rsidR="0065100E" w:rsidRPr="00C67555" w:rsidRDefault="0065100E" w:rsidP="00CA2D45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65100E" w:rsidRDefault="00490810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Poor literacy is the biggest </w:t>
            </w:r>
            <w:r>
              <w:rPr>
                <w:rFonts w:cstheme="minorHAnsi"/>
              </w:rPr>
              <w:lastRenderedPageBreak/>
              <w:t>barrier to progress being made in all subject areas. Support pupils’ understanding with reading allows them to unlock all subjects.</w:t>
            </w:r>
          </w:p>
          <w:p w:rsidR="00490810" w:rsidRPr="00C67555" w:rsidRDefault="00490810" w:rsidP="00CA2D45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:rsidR="0065100E" w:rsidRDefault="00106DE5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18 pupils out of 25 made age expected </w:t>
            </w:r>
            <w:r>
              <w:rPr>
                <w:rFonts w:cstheme="minorHAnsi"/>
              </w:rPr>
              <w:lastRenderedPageBreak/>
              <w:t xml:space="preserve">(or increased) progress with reading. </w:t>
            </w:r>
          </w:p>
          <w:p w:rsidR="00106DE5" w:rsidRPr="00C67555" w:rsidRDefault="00106DE5" w:rsidP="00CA2D45">
            <w:pPr>
              <w:rPr>
                <w:rFonts w:cstheme="minorHAnsi"/>
              </w:rPr>
            </w:pPr>
          </w:p>
        </w:tc>
      </w:tr>
      <w:tr w:rsidR="00843ADB" w:rsidRPr="00C67555" w:rsidTr="005B619E">
        <w:tc>
          <w:tcPr>
            <w:tcW w:w="2122" w:type="dxa"/>
          </w:tcPr>
          <w:p w:rsidR="00BF4AE0" w:rsidRDefault="0065100E" w:rsidP="0065100E">
            <w:pPr>
              <w:rPr>
                <w:rFonts w:cstheme="minorHAnsi"/>
                <w:b/>
              </w:rPr>
            </w:pPr>
            <w:r w:rsidRPr="0065100E">
              <w:rPr>
                <w:rFonts w:cstheme="minorHAnsi"/>
                <w:b/>
              </w:rPr>
              <w:lastRenderedPageBreak/>
              <w:t>Decrease in Class Sizes</w:t>
            </w:r>
          </w:p>
          <w:p w:rsidR="0065100E" w:rsidRDefault="0065100E" w:rsidP="0065100E">
            <w:pPr>
              <w:rPr>
                <w:rFonts w:cstheme="minorHAnsi"/>
                <w:b/>
              </w:rPr>
            </w:pPr>
          </w:p>
          <w:p w:rsidR="0065100E" w:rsidRPr="0065100E" w:rsidRDefault="0065100E" w:rsidP="0065100E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CA2D45" w:rsidRPr="00C67555" w:rsidRDefault="0065100E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our most vulnerable learners by decreasing the size of the class that they study both Maths and English in.</w:t>
            </w:r>
          </w:p>
        </w:tc>
        <w:tc>
          <w:tcPr>
            <w:tcW w:w="1762" w:type="dxa"/>
          </w:tcPr>
          <w:p w:rsidR="00CA2D45" w:rsidRPr="00C67555" w:rsidRDefault="00490810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>Providing a smaller environment supports the resilience of pupils and pace at which they learn.</w:t>
            </w:r>
          </w:p>
        </w:tc>
        <w:tc>
          <w:tcPr>
            <w:tcW w:w="2013" w:type="dxa"/>
          </w:tcPr>
          <w:p w:rsidR="008E24B1" w:rsidRDefault="00106DE5" w:rsidP="00CA2D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pupils made progress (reading age, end of year attainment) that was beyond expected in terms of chronological age. </w:t>
            </w:r>
          </w:p>
          <w:p w:rsidR="00106DE5" w:rsidRPr="00C67555" w:rsidRDefault="00106DE5" w:rsidP="00CA2D45">
            <w:pPr>
              <w:rPr>
                <w:rFonts w:cstheme="minorHAnsi"/>
              </w:rPr>
            </w:pPr>
          </w:p>
        </w:tc>
      </w:tr>
    </w:tbl>
    <w:p w:rsidR="00CA2D45" w:rsidRPr="00C67555" w:rsidRDefault="00CA2D45" w:rsidP="00325334">
      <w:pPr>
        <w:rPr>
          <w:rFonts w:cstheme="minorHAnsi"/>
        </w:rPr>
      </w:pPr>
    </w:p>
    <w:sectPr w:rsidR="00CA2D45" w:rsidRPr="00C6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468"/>
    <w:multiLevelType w:val="hybridMultilevel"/>
    <w:tmpl w:val="60A4E8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5E98"/>
    <w:multiLevelType w:val="hybridMultilevel"/>
    <w:tmpl w:val="8194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28C"/>
    <w:multiLevelType w:val="hybridMultilevel"/>
    <w:tmpl w:val="8496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C6F"/>
    <w:multiLevelType w:val="hybridMultilevel"/>
    <w:tmpl w:val="49EAEC1E"/>
    <w:lvl w:ilvl="0" w:tplc="FD42770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44756"/>
    <w:multiLevelType w:val="hybridMultilevel"/>
    <w:tmpl w:val="07D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E39"/>
    <w:multiLevelType w:val="multilevel"/>
    <w:tmpl w:val="04D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7244B"/>
    <w:multiLevelType w:val="multilevel"/>
    <w:tmpl w:val="1C1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360261"/>
    <w:multiLevelType w:val="hybridMultilevel"/>
    <w:tmpl w:val="CF7C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7D"/>
    <w:rsid w:val="00016D58"/>
    <w:rsid w:val="00026B87"/>
    <w:rsid w:val="00106DE5"/>
    <w:rsid w:val="0027535D"/>
    <w:rsid w:val="00325334"/>
    <w:rsid w:val="003456A0"/>
    <w:rsid w:val="0037718B"/>
    <w:rsid w:val="00490810"/>
    <w:rsid w:val="005B619E"/>
    <w:rsid w:val="005C186F"/>
    <w:rsid w:val="005E2259"/>
    <w:rsid w:val="0065100E"/>
    <w:rsid w:val="006742CB"/>
    <w:rsid w:val="006C5C7D"/>
    <w:rsid w:val="00765D5C"/>
    <w:rsid w:val="00843ADB"/>
    <w:rsid w:val="00864820"/>
    <w:rsid w:val="008A46E0"/>
    <w:rsid w:val="008E24B1"/>
    <w:rsid w:val="009E2F31"/>
    <w:rsid w:val="00A03256"/>
    <w:rsid w:val="00B37823"/>
    <w:rsid w:val="00BF4AE0"/>
    <w:rsid w:val="00C67555"/>
    <w:rsid w:val="00C74FE5"/>
    <w:rsid w:val="00CA2D45"/>
    <w:rsid w:val="00CA59B7"/>
    <w:rsid w:val="00D03862"/>
    <w:rsid w:val="00DA23C5"/>
    <w:rsid w:val="00DB14E8"/>
    <w:rsid w:val="00DF4D46"/>
    <w:rsid w:val="00EA62B7"/>
    <w:rsid w:val="00F35CEC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8F98-FC02-475A-9FB7-F2092A4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A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year-7-literacy-and-numeracy-catch-up-premium-guide-for-school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Walsh</dc:creator>
  <cp:keywords/>
  <dc:description/>
  <cp:lastModifiedBy>Sam Walsh</cp:lastModifiedBy>
  <cp:revision>2</cp:revision>
  <dcterms:created xsi:type="dcterms:W3CDTF">2019-11-26T13:26:00Z</dcterms:created>
  <dcterms:modified xsi:type="dcterms:W3CDTF">2019-11-26T13:26:00Z</dcterms:modified>
</cp:coreProperties>
</file>