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before="50" w:line="240" w:lineRule="auto"/>
            <w:ind w:left="100" w:right="-20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u w:val="single"/>
              <w:rtl w:val="0"/>
            </w:rPr>
            <w:t xml:space="preserve">Dean Trust Rose Bridge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265" w:lineRule="auto"/>
            <w:ind w:left="100" w:right="-20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u w:val="single"/>
              <w:rtl w:val="0"/>
            </w:rPr>
            <w:t xml:space="preserve">Pupil Premium Strategy 2018-2019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before="9" w:line="24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6516.0" w:type="dxa"/>
        <w:jc w:val="left"/>
        <w:tblInd w:w="94.0" w:type="dxa"/>
        <w:tblLayout w:type="fixed"/>
        <w:tblLook w:val="0000"/>
      </w:tblPr>
      <w:tblGrid>
        <w:gridCol w:w="4673"/>
        <w:gridCol w:w="1843"/>
        <w:tblGridChange w:id="0">
          <w:tblGrid>
            <w:gridCol w:w="4673"/>
            <w:gridCol w:w="1843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spacing w:after="0" w:line="267" w:lineRule="auto"/>
                  <w:ind w:left="2202" w:right="2179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Pupil Premium Details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Pupil Premium Number (@ October 2018)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359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Total Pupil Premium Income 2018-2019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£350,625.00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Children Looked After Number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Children Looked After Income (based on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provision map)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£13,000.00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after="0" w:line="240" w:lineRule="auto"/>
                  <w:ind w:left="102" w:right="347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(additional funding can be applied for)</w:t>
                </w:r>
              </w:p>
            </w:sdtContent>
          </w:sdt>
        </w:tc>
      </w:tr>
    </w:tbl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0" w:before="9" w:line="240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0" w:before="16" w:line="265" w:lineRule="auto"/>
            <w:ind w:left="100" w:right="-20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u w:val="single"/>
              <w:rtl w:val="0"/>
            </w:rPr>
            <w:t xml:space="preserve">Pupil Premium Population Breakdown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before="9" w:line="24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6154.0" w:type="dxa"/>
        <w:jc w:val="left"/>
        <w:tblInd w:w="94.0" w:type="dxa"/>
        <w:tblLayout w:type="fixed"/>
        <w:tblLook w:val="0000"/>
      </w:tblPr>
      <w:tblGrid>
        <w:gridCol w:w="3077"/>
        <w:gridCol w:w="3077"/>
        <w:tblGridChange w:id="0">
          <w:tblGrid>
            <w:gridCol w:w="3077"/>
            <w:gridCol w:w="3077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after="0" w:line="267" w:lineRule="auto"/>
                  <w:ind w:left="1014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Year Group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after="0" w:line="267" w:lineRule="auto"/>
                  <w:ind w:left="268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Number of Pupil Premium /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after="0" w:line="240" w:lineRule="auto"/>
                  <w:ind w:left="357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Percentage of Year Group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after="0" w:line="267" w:lineRule="auto"/>
                  <w:ind w:left="1208" w:right="1189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Year 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after="0" w:line="267" w:lineRule="auto"/>
                  <w:ind w:left="1150" w:right="1131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62/44%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after="0" w:line="267" w:lineRule="auto"/>
                  <w:ind w:left="1208" w:right="1189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Year 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after="0" w:line="267" w:lineRule="auto"/>
                  <w:ind w:left="1150" w:right="1131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75/50%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after="0" w:line="267" w:lineRule="auto"/>
                  <w:ind w:left="1208" w:right="1189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Year 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after="0" w:line="267" w:lineRule="auto"/>
                  <w:ind w:left="1150" w:right="1131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78/50%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after="0" w:line="267" w:lineRule="auto"/>
                  <w:ind w:left="1153" w:right="1135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Year 10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after="0" w:line="267" w:lineRule="auto"/>
                  <w:ind w:left="1150" w:right="1131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78/62%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after="0" w:line="267" w:lineRule="auto"/>
                  <w:ind w:left="1153" w:right="1135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Year 11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after="0" w:line="267" w:lineRule="auto"/>
                  <w:ind w:left="1150" w:right="1131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66/55%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after="0" w:before="11" w:line="240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spacing w:after="0" w:before="16" w:line="240" w:lineRule="auto"/>
            <w:ind w:left="100" w:right="-20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Whole School Key P.P. Focus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spacing w:after="0" w:before="2" w:line="24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15446.999999999998" w:type="dxa"/>
        <w:jc w:val="left"/>
        <w:tblInd w:w="94.0" w:type="dxa"/>
        <w:tblLayout w:type="fixed"/>
        <w:tblLook w:val="0000"/>
      </w:tblPr>
      <w:tblGrid>
        <w:gridCol w:w="3077"/>
        <w:gridCol w:w="5424"/>
        <w:gridCol w:w="3828"/>
        <w:gridCol w:w="3118"/>
        <w:tblGridChange w:id="0">
          <w:tblGrid>
            <w:gridCol w:w="3077"/>
            <w:gridCol w:w="5424"/>
            <w:gridCol w:w="3828"/>
            <w:gridCol w:w="3118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after="0" w:line="267" w:lineRule="auto"/>
                  <w:ind w:left="1576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Barrier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after="0" w:line="267" w:lineRule="auto"/>
                  <w:ind w:left="2288" w:right="2267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Strategy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after="0" w:line="267" w:lineRule="auto"/>
                  <w:ind w:left="1554" w:right="1534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Impact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after="0" w:line="267" w:lineRule="auto"/>
                  <w:ind w:left="76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Staff Responsible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Learning Behaviours inhibit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progress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Whole school focus on identifying the ‘gap’ in lessons –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cognitive/skill/knowledge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Evaluated through subject reviews,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after="0" w:line="240" w:lineRule="auto"/>
                  <w:ind w:left="102" w:right="784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learning reviews, drop-ins, book scrutinies and pupil voice.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after="0" w:line="240" w:lineRule="auto"/>
                  <w:ind w:left="102" w:right="167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Data points are also used as evaluation points.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Whole Staff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spacing w:after="0" w:lineRule="auto"/>
            <w:rPr/>
            <w:sectPr>
              <w:pgSz w:h="11920" w:w="16840"/>
              <w:pgMar w:bottom="280" w:top="660" w:left="620" w:right="560" w:header="720" w:footer="720"/>
              <w:pgNumType w:start="1"/>
              <w:cols w:equalWidth="0"/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spacing w:after="0" w:before="50" w:line="240" w:lineRule="auto"/>
            <w:ind w:left="100" w:right="-20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u w:val="single"/>
              <w:rtl w:val="0"/>
            </w:rPr>
            <w:t xml:space="preserve">Leadership Strategic Pupil Premium Plan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spacing w:after="0" w:before="2" w:line="24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15391.0" w:type="dxa"/>
        <w:jc w:val="left"/>
        <w:tblInd w:w="94.0" w:type="dxa"/>
        <w:tblLayout w:type="fixed"/>
        <w:tblLook w:val="0000"/>
      </w:tblPr>
      <w:tblGrid>
        <w:gridCol w:w="2806"/>
        <w:gridCol w:w="5715"/>
        <w:gridCol w:w="4395"/>
        <w:gridCol w:w="2475"/>
        <w:tblGridChange w:id="0">
          <w:tblGrid>
            <w:gridCol w:w="2806"/>
            <w:gridCol w:w="5715"/>
            <w:gridCol w:w="4395"/>
            <w:gridCol w:w="2475"/>
          </w:tblGrid>
        </w:tblGridChange>
      </w:tblGrid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Teaching and Learning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after="0" w:line="240" w:lineRule="auto"/>
                  <w:ind w:left="1045" w:right="1023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Barrier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after="0" w:line="240" w:lineRule="auto"/>
                  <w:ind w:left="2919" w:right="2900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Strategy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after="0" w:line="240" w:lineRule="auto"/>
                  <w:ind w:left="1832" w:right="1812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Evidence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after="0" w:line="240" w:lineRule="auto"/>
                  <w:ind w:left="494" w:right="476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Next Steps</w:t>
                </w:r>
              </w:p>
            </w:sdtContent>
          </w:sdt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after="0" w:line="240" w:lineRule="auto"/>
                  <w:ind w:left="46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1.   Teacher awareness</w:t>
                </w:r>
              </w:p>
            </w:sdtContent>
          </w:sdt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after="0" w:line="266" w:lineRule="auto"/>
                  <w:ind w:left="82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of the precise nature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after="0" w:line="240" w:lineRule="auto"/>
                  <w:ind w:left="82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of ‘the gap.’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after="0" w:before="1" w:line="240" w:lineRule="auto"/>
                  <w:ind w:left="102" w:right="139"/>
                  <w:rPr>
                    <w:rFonts w:ascii="Calibri" w:cs="Calibri" w:eastAsia="Calibri" w:hAnsi="Calibri"/>
                    <w:color w:val="ff99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f0000"/>
                    <w:rtl w:val="0"/>
                  </w:rPr>
                  <w:t xml:space="preserve">All staff are aware of the different nature of the ‘gap’ and faculties plan with precision to narrow the gap.</w:t>
                </w: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  </w:t>
                </w:r>
                <w:r w:rsidDel="00000000" w:rsidR="00000000" w:rsidRPr="00000000">
                  <w:rPr>
                    <w:rFonts w:ascii="Calibri" w:cs="Calibri" w:eastAsia="Calibri" w:hAnsi="Calibri"/>
                    <w:color w:val="ff9900"/>
                    <w:rtl w:val="0"/>
                  </w:rPr>
                  <w:t xml:space="preserve">Whole school T &amp; L policies and practice are consistently implemented in order to be effective.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after="0" w:line="240" w:lineRule="auto"/>
                  <w:ind w:left="100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  <w:t xml:space="preserve">Increased CPD/INSET has supported consistency of T+L policies (as evidenced by QA).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Further CPD for staff to support their contextualised understanding of PP.</w:t>
                </w:r>
              </w:p>
            </w:sdtContent>
          </w:sdt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Sharing of PP Strategy with all staff to ensure it remains at core of practice.</w:t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spacing w:after="0" w:line="267" w:lineRule="auto"/>
                  <w:ind w:left="46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2.   Memory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color w:val="ff99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f9900"/>
                    <w:vertAlign w:val="baseline"/>
                    <w:rtl w:val="0"/>
                  </w:rPr>
                  <w:t xml:space="preserve">Teaching methods that are proven to improve memory are deployed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  <w:color w:val="ff99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f9900"/>
                    <w:rtl w:val="0"/>
                  </w:rPr>
                  <w:t xml:space="preserve">across the whole school.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spacing w:after="0" w:line="240" w:lineRule="auto"/>
                  <w:ind w:left="100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  <w:t xml:space="preserve">Recall 5 an entrenched part of all learning as evidenced in learning walks/QAs. Built into all SOLs.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  <w:t xml:space="preserve">Ensure R5 build upon KS2 QLA and remain challenging.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spacing w:after="0" w:line="267" w:lineRule="auto"/>
                  <w:ind w:left="46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3.   Appropriate HPA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spacing w:after="0" w:line="240" w:lineRule="auto"/>
                  <w:ind w:left="822" w:right="322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Challenge throughout the school curriculum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color w:val="ff00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b050"/>
                    <w:vertAlign w:val="baseline"/>
                    <w:rtl w:val="0"/>
                  </w:rPr>
                  <w:t xml:space="preserve">HPA pupils are identified across the whole school and within each class</w:t>
                </w:r>
                <w:r w:rsidDel="00000000" w:rsidR="00000000" w:rsidRPr="00000000">
                  <w:rPr>
                    <w:color w:val="00b050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color w:val="00b050"/>
                    <w:rtl w:val="0"/>
                  </w:rPr>
                  <w:t xml:space="preserve">(every class has a relative HPA). </w:t>
                </w:r>
                <w:r w:rsidDel="00000000" w:rsidR="00000000" w:rsidRPr="00000000">
                  <w:rPr>
                    <w:rFonts w:ascii="Calibri" w:cs="Calibri" w:eastAsia="Calibri" w:hAnsi="Calibri"/>
                    <w:color w:val="ff0000"/>
                    <w:rtl w:val="0"/>
                  </w:rPr>
                  <w:t xml:space="preserve">LPs ensure the challenge across the curriculum is consistent and appropriate.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spacing w:after="0" w:line="240" w:lineRule="auto"/>
                  <w:ind w:left="100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  <w:t xml:space="preserve">HP has been key group of focus in QA and throughout the year.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spacing w:after="0" w:line="267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EG to make HPA key progress focus group for winter Term - all QA to focus on this group of pupils.</w:t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spacing w:after="0" w:line="267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spacing w:after="0" w:line="267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EG to work on developing role of LP (with LC).</w:t>
                </w:r>
              </w:p>
            </w:sdtContent>
          </w:sdt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spacing w:after="0" w:line="267" w:lineRule="auto"/>
                  <w:ind w:left="46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4.   Learning resilience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after="0" w:line="240" w:lineRule="auto"/>
                  <w:ind w:left="822" w:right="538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as the difficulty increases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color w:val="ff99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f9900"/>
                    <w:vertAlign w:val="baseline"/>
                    <w:rtl w:val="0"/>
                  </w:rPr>
                  <w:t xml:space="preserve">A culture that failure is a key component to being successful is fostered</w:t>
                </w:r>
                <w:r w:rsidDel="00000000" w:rsidR="00000000" w:rsidRPr="00000000">
                  <w:rPr>
                    <w:color w:val="ff9900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color w:val="ff9900"/>
                    <w:rtl w:val="0"/>
                  </w:rPr>
                  <w:t xml:space="preserve">in all classrooms. Taking on challenge is celebrated and ‘grappling’ to find solutions/answers is a key strategy in order for pupils to hit and move beyond targets.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spacing w:after="0" w:line="266" w:lineRule="auto"/>
                  <w:ind w:left="100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  <w:t xml:space="preserve">ACE Questioning and Challenge Me questions have become part of the culture of classroom learning (QA).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Work to be done on supporting pupils to embrace challenge and want to take it on.</w:t>
                </w:r>
              </w:p>
            </w:sdtContent>
          </w:sdt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EG and LPs to devise strategy for this.</w:t>
                </w:r>
              </w:p>
            </w:sdtContent>
          </w:sdt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spacing w:after="0" w:before="1" w:line="240" w:lineRule="auto"/>
                  <w:ind w:left="822" w:right="132" w:hanging="36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5.   Independent learning – homework, revision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spacing w:after="0" w:before="1" w:line="240" w:lineRule="auto"/>
                  <w:ind w:left="102" w:right="166"/>
                  <w:rPr>
                    <w:rFonts w:ascii="Calibri" w:cs="Calibri" w:eastAsia="Calibri" w:hAnsi="Calibri"/>
                    <w:color w:val="ff00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b050"/>
                    <w:rtl w:val="0"/>
                  </w:rPr>
                  <w:t xml:space="preserve">Homework’s and revision are planned to enable success within key pieces.</w:t>
                </w: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color w:val="ff0000"/>
                    <w:rtl w:val="0"/>
                  </w:rPr>
                  <w:t xml:space="preserve">Independent learning is developed as a positive tool in the eyes of the pupil – not a negative.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spacing w:after="0" w:before="1" w:line="240" w:lineRule="auto"/>
                  <w:ind w:left="100" w:right="323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  <w:t xml:space="preserve">Use of knowledge organisers are integral to homework use.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Consistency of standards across all CAs.</w:t>
                </w:r>
              </w:p>
            </w:sdtContent>
          </w:sdt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ClassCharts training utilised to enable all staff to be confident in using this to set homework.</w:t>
                </w:r>
              </w:p>
            </w:sdtContent>
          </w:sdt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Homework becomes part of QA cycle.</w:t>
                </w:r>
              </w:p>
            </w:sdtContent>
          </w:sdt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after="0" w:line="267" w:lineRule="auto"/>
                  <w:ind w:left="462" w:right="-20"/>
                  <w:rPr>
                    <w:rFonts w:ascii="Calibri" w:cs="Calibri" w:eastAsia="Calibri" w:hAnsi="Calibri"/>
                    <w:color w:val="00b05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6.   </w:t>
                </w:r>
                <w:r w:rsidDel="00000000" w:rsidR="00000000" w:rsidRPr="00000000">
                  <w:rPr>
                    <w:rFonts w:ascii="Calibri" w:cs="Calibri" w:eastAsia="Calibri" w:hAnsi="Calibri"/>
                    <w:color w:val="00b050"/>
                    <w:vertAlign w:val="baseline"/>
                    <w:rtl w:val="0"/>
                  </w:rPr>
                  <w:t xml:space="preserve">Literacy and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after="0" w:line="240" w:lineRule="auto"/>
                  <w:ind w:left="822" w:right="88"/>
                  <w:rPr>
                    <w:rFonts w:ascii="Calibri" w:cs="Calibri" w:eastAsia="Calibri" w:hAnsi="Calibri"/>
                    <w:color w:val="ff00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f0000"/>
                    <w:rtl w:val="0"/>
                  </w:rPr>
                  <w:t xml:space="preserve">Numeracy ability for some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color w:val="00b05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b050"/>
                    <w:vertAlign w:val="baseline"/>
                    <w:rtl w:val="0"/>
                  </w:rPr>
                  <w:t xml:space="preserve">Identification of pupils below Expected Standard in Y7 and placed on</w:t>
                </w:r>
                <w:r w:rsidDel="00000000" w:rsidR="00000000" w:rsidRPr="00000000">
                  <w:rPr>
                    <w:color w:val="00b050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color w:val="00b050"/>
                    <w:rtl w:val="0"/>
                  </w:rPr>
                  <w:t xml:space="preserve">the appropriate Catch-Up programme.  Those in Y8 and Y9 are identified to receive extra support/intervention to enable them to access GCSE level work by the end of Y9.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spacing w:after="0" w:line="240" w:lineRule="auto"/>
                  <w:ind w:left="100" w:right="741"/>
                  <w:rPr/>
                </w:pPr>
                <w:r w:rsidDel="00000000" w:rsidR="00000000" w:rsidRPr="00000000">
                  <w:rPr>
                    <w:rtl w:val="0"/>
                  </w:rPr>
                  <w:t xml:space="preserve">Literacy has been focus of staff CPD and increased competence this year.</w:t>
                </w:r>
              </w:p>
            </w:sdtContent>
          </w:sdt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spacing w:after="0" w:line="240" w:lineRule="auto"/>
                  <w:ind w:left="100" w:right="741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spacing w:after="0" w:line="240" w:lineRule="auto"/>
                  <w:ind w:left="100" w:right="741"/>
                  <w:rPr>
                    <w:color w:val="ff0000"/>
                  </w:rPr>
                </w:pPr>
                <w:r w:rsidDel="00000000" w:rsidR="00000000" w:rsidRPr="00000000">
                  <w:rPr>
                    <w:rtl w:val="0"/>
                  </w:rPr>
                  <w:t xml:space="preserve">Evidence of improved reading ages from pupils is abounding and consistent across all those who have been supported in programme - </w:t>
                </w:r>
                <w:r w:rsidDel="00000000" w:rsidR="00000000" w:rsidRPr="00000000">
                  <w:rPr>
                    <w:color w:val="ff0000"/>
                    <w:rtl w:val="0"/>
                  </w:rPr>
                  <w:t xml:space="preserve">need specific PP numbers here though.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Confirmation of staffing of Literacy provision - RK/SM/ST/NA/KW/RW.</w:t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Continued work to support transition of vulnerable pupils across key-stages.</w:t>
                </w:r>
              </w:p>
            </w:sdtContent>
          </w:sdt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spacing w:after="0" w:line="240" w:lineRule="auto"/>
                  <w:ind w:left="100" w:right="741"/>
                  <w:rPr/>
                </w:pPr>
                <w:r w:rsidDel="00000000" w:rsidR="00000000" w:rsidRPr="00000000">
                  <w:rPr>
                    <w:rtl w:val="0"/>
                  </w:rPr>
                  <w:t xml:space="preserve">Numeracy lead to be appointed and strategy to be devised.</w:t>
                </w:r>
              </w:p>
            </w:sdtContent>
          </w:sdt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spacing w:after="0" w:line="267" w:lineRule="auto"/>
                  <w:ind w:left="46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7.   Deeper knowledge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spacing w:after="0" w:line="240" w:lineRule="auto"/>
                  <w:ind w:left="822" w:right="141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of the wider curriculum on entry and through KS3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color w:val="ff99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f9900"/>
                    <w:vertAlign w:val="baseline"/>
                    <w:rtl w:val="0"/>
                  </w:rPr>
                  <w:t xml:space="preserve">Non-Core subjects develop KS SOWs that ensure all pupils have the</w:t>
                </w:r>
                <w:r w:rsidDel="00000000" w:rsidR="00000000" w:rsidRPr="00000000">
                  <w:rPr>
                    <w:color w:val="ff9900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color w:val="ff9900"/>
                    <w:rtl w:val="0"/>
                  </w:rPr>
                  <w:t xml:space="preserve">necessary knowledge in order to progress through the curriculum – gaps from KS2 are identified and awe and wonder to enhance engagement is planned for.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spacing w:after="0" w:line="240" w:lineRule="auto"/>
                  <w:ind w:left="100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Joint INSET with AOM/DT to support with developing threshold concepts and curriculum maps.</w:t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spacing w:after="0" w:line="240" w:lineRule="auto"/>
                  <w:ind w:left="100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spacing w:after="0" w:line="240" w:lineRule="auto"/>
                  <w:ind w:left="100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Use of QLA to improve Maths Recall 5.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LC’s work with mapping out curriculum of all CAs - sharing across school and with SLT.</w:t>
                </w:r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Continued support of identifying specific learning barriers for Year 7 cohort.</w:t>
                </w:r>
              </w:p>
            </w:sdtContent>
          </w:sdt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spacing w:after="0" w:line="240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spacing w:after="0" w:line="267" w:lineRule="auto"/>
                  <w:ind w:left="46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8.   Psychological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spacing w:after="0" w:line="240" w:lineRule="auto"/>
                  <w:ind w:left="822" w:right="287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demands of high stakes final exams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color w:val="ff99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f9900"/>
                    <w:vertAlign w:val="baseline"/>
                    <w:rtl w:val="0"/>
                  </w:rPr>
                  <w:t xml:space="preserve">Pupils are prepared for the demands of the new GCSEs in terms of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spacing w:after="0" w:line="240" w:lineRule="auto"/>
                  <w:ind w:left="102" w:right="389"/>
                  <w:rPr>
                    <w:rFonts w:ascii="Calibri" w:cs="Calibri" w:eastAsia="Calibri" w:hAnsi="Calibri"/>
                    <w:color w:val="ff99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f9900"/>
                    <w:rtl w:val="0"/>
                  </w:rPr>
                  <w:t xml:space="preserve">productivity, length of exams, content and performance under exam conditions.</w:t>
                </w:r>
              </w:p>
            </w:sdtContent>
          </w:sdt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spacing w:after="0" w:before="2" w:line="240" w:lineRule="auto"/>
                  <w:ind w:left="102" w:right="264"/>
                  <w:rPr>
                    <w:rFonts w:ascii="Calibri" w:cs="Calibri" w:eastAsia="Calibri" w:hAnsi="Calibri"/>
                    <w:color w:val="00b05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b050"/>
                    <w:rtl w:val="0"/>
                  </w:rPr>
                  <w:t xml:space="preserve">Specific pupils who may need extra support/alternative arrangements are identified and supported accordingly.</w:t>
                </w:r>
              </w:p>
            </w:sdtContent>
          </w:sdt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spacing w:after="0" w:before="2" w:line="240" w:lineRule="auto"/>
                  <w:ind w:left="102" w:right="264"/>
                  <w:rPr>
                    <w:color w:val="00b05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spacing w:after="0" w:line="240" w:lineRule="auto"/>
                  <w:ind w:left="100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Invigilators // end of year exams procedures</w:t>
                </w:r>
              </w:p>
            </w:sdtContent>
          </w:sdt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spacing w:after="0" w:line="240" w:lineRule="auto"/>
                  <w:ind w:left="100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spacing w:after="0" w:line="240" w:lineRule="auto"/>
                  <w:ind w:left="100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Increased understanding of exam arrangements; more pupils have AA.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spacing w:after="0" w:lineRule="auto"/>
            <w:rPr/>
            <w:sectPr>
              <w:type w:val="nextPage"/>
              <w:pgSz w:h="11920" w:w="16840"/>
              <w:pgMar w:bottom="280" w:top="660" w:left="620" w:right="600" w:header="720" w:footer="720"/>
              <w:cols w:equalWidth="0"/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spacing w:after="0" w:before="1" w:line="240" w:lineRule="auto"/>
            <w:rPr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5"/>
        <w:tblW w:w="15389.0" w:type="dxa"/>
        <w:jc w:val="left"/>
        <w:tblInd w:w="94.0" w:type="dxa"/>
        <w:tblLayout w:type="fixed"/>
        <w:tblLook w:val="0000"/>
      </w:tblPr>
      <w:tblGrid>
        <w:gridCol w:w="2736"/>
        <w:gridCol w:w="3544"/>
        <w:gridCol w:w="1985"/>
        <w:gridCol w:w="7124"/>
        <w:tblGridChange w:id="0">
          <w:tblGrid>
            <w:gridCol w:w="2736"/>
            <w:gridCol w:w="3544"/>
            <w:gridCol w:w="1985"/>
            <w:gridCol w:w="7124"/>
          </w:tblGrid>
        </w:tblGridChange>
      </w:tblGrid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Behaviour and Welfare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spacing w:after="0" w:line="267" w:lineRule="auto"/>
                  <w:ind w:right="-20"/>
                  <w:rPr>
                    <w:rFonts w:ascii="Calibri" w:cs="Calibri" w:eastAsia="Calibri" w:hAnsi="Calibri"/>
                    <w:b w:val="1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Barrier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b w:val="1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Strategy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b w:val="1"/>
                    <w:vertAlign w:val="baseline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Evidence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Next Steps</w:t>
                </w:r>
              </w:p>
            </w:sdtContent>
          </w:sdt>
        </w:tc>
      </w:tr>
      <w:tr>
        <w:trPr>
          <w:trHeight w:val="1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spacing w:after="0" w:line="267" w:lineRule="auto"/>
                  <w:ind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Attendance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color w:val="f79646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79646"/>
                    <w:vertAlign w:val="baseline"/>
                    <w:rtl w:val="0"/>
                  </w:rPr>
                  <w:t xml:space="preserve">Increase PP overall attendance and lower PP P.A.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spacing w:after="0" w:before="1" w:line="240" w:lineRule="auto"/>
                  <w:ind w:left="102" w:right="118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79646"/>
                    <w:rtl w:val="0"/>
                  </w:rPr>
                  <w:t xml:space="preserve">Attendance Officer, Form Tutors, HoYs identify pupils in order to improve attendance and overcome the barriers towards attending.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Monthly attendance reports published in staff room (haven’t always been updated though)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EWO appointed (initial focus will be PP pupils)</w:t>
                </w:r>
              </w:p>
            </w:sdtContent>
          </w:sdt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Local authority support to assist with tracking and engaging parents (£7k)</w:t>
                </w:r>
              </w:p>
            </w:sdtContent>
          </w:sdt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spacing w:after="0" w:line="267" w:lineRule="auto"/>
                  <w:ind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Social </w:t>
                </w: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Responsibility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color w:val="f79646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79646"/>
                    <w:vertAlign w:val="baseline"/>
                    <w:rtl w:val="0"/>
                  </w:rPr>
                  <w:t xml:space="preserve">Pupils are aware of their responsibility with regards their social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spacing w:after="0" w:line="240" w:lineRule="auto"/>
                  <w:ind w:left="102" w:right="422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79646"/>
                    <w:rtl w:val="0"/>
                  </w:rPr>
                  <w:t xml:space="preserve">responsibility in terms of school citizenship. </w:t>
                </w:r>
                <w:r w:rsidDel="00000000" w:rsidR="00000000" w:rsidRPr="00000000">
                  <w:rPr>
                    <w:rFonts w:ascii="Calibri" w:cs="Calibri" w:eastAsia="Calibri" w:hAnsi="Calibri"/>
                    <w:color w:val="ff0000"/>
                    <w:rtl w:val="0"/>
                  </w:rPr>
                  <w:t xml:space="preserve">More PP engage with extra-curricular (also linked to SLs).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Developed PDC curriculum and linked to assemblies that focus on standards/expectations and morality.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EG creating highly focused PDC programme that links with Assembly rota.</w:t>
                </w:r>
              </w:p>
            </w:sdtContent>
          </w:sdt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Use of PP budget to support ‘drop down days’ for highly focused intervention and support.</w:t>
                </w:r>
              </w:p>
            </w:sdtContent>
          </w:sdt>
        </w:tc>
      </w:tr>
      <w:tr>
        <w:trPr>
          <w:trHeight w:val="2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spacing w:after="0" w:line="267" w:lineRule="auto"/>
                  <w:ind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PP pupils receive </w:t>
                </w: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more negative sanctions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  <w:color w:val="00b050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b050"/>
                    <w:vertAlign w:val="baseline"/>
                    <w:rtl w:val="0"/>
                  </w:rPr>
                  <w:t xml:space="preserve">Close monitoring of sanctions received per cohort per month.</w:t>
                </w:r>
              </w:p>
            </w:sdtContent>
          </w:sdt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spacing w:after="0" w:line="267" w:lineRule="auto"/>
                  <w:ind w:left="102" w:right="-20"/>
                  <w:rPr>
                    <w:color w:val="00b05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spacing w:after="0" w:line="240" w:lineRule="auto"/>
                  <w:ind w:left="102" w:right="162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79646"/>
                    <w:rtl w:val="0"/>
                  </w:rPr>
                  <w:t xml:space="preserve">Reduction of the amount of sanctions received due to identified pupils receiving the necessary mentoring/intervention.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spacing w:after="0" w:line="267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LV sanction reports each week.</w:t>
                </w:r>
              </w:p>
            </w:sdtContent>
          </w:sdt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spacing w:after="0" w:line="267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spacing w:after="0" w:line="267" w:lineRule="auto"/>
                  <w:ind w:left="102" w:right="-20"/>
                  <w:rPr/>
                </w:pPr>
                <w:r w:rsidDel="00000000" w:rsidR="00000000" w:rsidRPr="00000000">
                  <w:rPr>
                    <w:rtl w:val="0"/>
                  </w:rPr>
                  <w:t xml:space="preserve">Plans in place for further development of sanctions (ICE/C3)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Whole-school CPD (de-escalation techniques/levels of support)</w:t>
                </w:r>
              </w:p>
            </w:sdtContent>
          </w:sdt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Enhanced internal procedures (on-site provision; C3 room)</w:t>
                </w:r>
              </w:p>
            </w:sdtContent>
          </w:sdt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MUFC built into support programme</w:t>
                </w:r>
              </w:p>
            </w:sdtContent>
          </w:sdt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Increased time for PSM engagement (reduce their time in Isolation)</w:t>
                </w:r>
              </w:p>
            </w:sdtContent>
          </w:sdt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TA3 (CLA/PP focus) – paid for by Virtual Schools</w:t>
                </w:r>
              </w:p>
            </w:sdtContent>
          </w:sdt>
        </w:tc>
      </w:tr>
      <w:tr>
        <w:trPr>
          <w:trHeight w:val="2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spacing w:after="0" w:line="267" w:lineRule="auto"/>
                  <w:ind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PP pupil’s self-</w:t>
                </w: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esteem and confidence in academic ability</w:t>
                </w:r>
              </w:p>
            </w:sdtContent>
          </w:sdt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spacing w:after="0" w:line="267" w:lineRule="auto"/>
                  <w:ind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spacing w:after="0" w:line="267" w:lineRule="auto"/>
                  <w:ind w:right="-20"/>
                  <w:rPr>
                    <w:rFonts w:ascii="Calibri" w:cs="Calibri" w:eastAsia="Calibri" w:hAnsi="Calibri"/>
                    <w:i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i w:val="1"/>
                    <w:sz w:val="18"/>
                    <w:szCs w:val="18"/>
                    <w:vertAlign w:val="baseline"/>
                    <w:rtl w:val="0"/>
                  </w:rPr>
                  <w:t xml:space="preserve">(Vulnerable PP along with PP that display challenging behaviours </w:t>
                </w:r>
                <w:r w:rsidDel="00000000" w:rsidR="00000000" w:rsidRPr="00000000">
                  <w:rPr>
                    <w:rFonts w:ascii="Calibri" w:cs="Calibri" w:eastAsia="Calibri" w:hAnsi="Calibri"/>
                    <w:i w:val="1"/>
                    <w:sz w:val="18"/>
                    <w:szCs w:val="18"/>
                    <w:rtl w:val="0"/>
                  </w:rPr>
                  <w:t xml:space="preserve">often have anxieties regarding academic performance.)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spacing w:after="0" w:line="240" w:lineRule="auto"/>
                  <w:ind w:left="102" w:right="458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f79646"/>
                    <w:rtl w:val="0"/>
                  </w:rPr>
                  <w:t xml:space="preserve">HoYs work closely with these groups to overcome the perceived barriers and broker the appropriate support.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Academic progress of the identified groups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improve between data points.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Continue to track Academic performance through developed role of HoY and their understanding of pupil performance data</w:t>
                </w:r>
              </w:p>
            </w:sdtContent>
          </w:sdt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keepNext w:val="0"/>
                  <w:keepLines w:val="0"/>
                  <w:widowControl w:val="0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67" w:lineRule="auto"/>
                  <w:ind w:left="822" w:right="-2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CPD for HoY (data systems; holding to account)</w:t>
                </w:r>
              </w:p>
            </w:sdtContent>
          </w:sdt>
        </w:tc>
      </w:tr>
    </w:tbl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spacing w:after="0" w:lineRule="auto"/>
            <w:rPr/>
            <w:sectPr>
              <w:type w:val="nextPage"/>
              <w:pgSz w:h="11920" w:w="16840"/>
              <w:pgMar w:bottom="280" w:top="1060" w:left="620" w:right="600" w:header="720" w:footer="720"/>
              <w:cols w:equalWidth="0"/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spacing w:after="0" w:before="50" w:line="240" w:lineRule="auto"/>
            <w:ind w:left="100" w:right="-20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u w:val="single"/>
              <w:rtl w:val="0"/>
            </w:rPr>
            <w:t xml:space="preserve">GCSE Outcomes 2018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spacing w:after="0" w:before="2" w:line="24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6"/>
        <w:tblW w:w="15389.0" w:type="dxa"/>
        <w:jc w:val="left"/>
        <w:tblInd w:w="94.0" w:type="dxa"/>
        <w:tblLayout w:type="fixed"/>
        <w:tblLook w:val="0000"/>
      </w:tblPr>
      <w:tblGrid>
        <w:gridCol w:w="3077"/>
        <w:gridCol w:w="3077"/>
        <w:gridCol w:w="3079"/>
        <w:gridCol w:w="3077"/>
        <w:gridCol w:w="3079"/>
        <w:tblGridChange w:id="0">
          <w:tblGrid>
            <w:gridCol w:w="3077"/>
            <w:gridCol w:w="3077"/>
            <w:gridCol w:w="3079"/>
            <w:gridCol w:w="3077"/>
            <w:gridCol w:w="3079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spacing w:after="0" w:line="267" w:lineRule="auto"/>
                  <w:ind w:left="1218" w:right="1198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Basics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spacing w:after="0" w:line="267" w:lineRule="auto"/>
                  <w:ind w:left="894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Whole Cohort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spacing w:after="0" w:line="267" w:lineRule="auto"/>
                  <w:ind w:left="1098" w:right="1078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Non-P.P.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spacing w:after="0" w:line="267" w:lineRule="auto"/>
                  <w:ind w:left="1321" w:right="1297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P.P.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spacing w:after="0" w:line="267" w:lineRule="auto"/>
                  <w:ind w:left="647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National (Non-P.P.)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spacing w:after="0" w:line="240" w:lineRule="auto"/>
                  <w:ind w:left="1350" w:right="1331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9-4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spacing w:after="0" w:line="240" w:lineRule="auto"/>
                  <w:ind w:left="1218" w:right="1197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38.4%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spacing w:after="0" w:line="240" w:lineRule="auto"/>
                  <w:ind w:left="1304" w:right="1283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50%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spacing w:after="0" w:line="240" w:lineRule="auto"/>
                  <w:ind w:left="1220" w:right="1194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30.2%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spacing w:after="0" w:line="240" w:lineRule="auto"/>
                  <w:ind w:left="1304" w:right="1283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72%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spacing w:after="0" w:line="267" w:lineRule="auto"/>
                  <w:ind w:left="1350" w:right="1331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9-5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spacing w:after="0" w:line="267" w:lineRule="auto"/>
                  <w:ind w:left="1218" w:right="1197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15.2%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spacing w:after="0" w:line="267" w:lineRule="auto"/>
                  <w:ind w:left="1304" w:right="1283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32%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spacing w:after="0" w:line="267" w:lineRule="auto"/>
                  <w:ind w:left="1220" w:right="1194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11.1%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spacing w:after="0" w:line="267" w:lineRule="auto"/>
                  <w:ind w:left="1304" w:right="1283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50%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spacing w:after="0" w:line="267" w:lineRule="auto"/>
                  <w:ind w:left="894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Whole Cohort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spacing w:after="0" w:line="267" w:lineRule="auto"/>
                  <w:ind w:left="1098" w:right="1078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Non-P.P.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spacing w:after="0" w:line="267" w:lineRule="auto"/>
                  <w:ind w:left="1321" w:right="1297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P.P.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spacing w:after="0" w:line="267" w:lineRule="auto"/>
                  <w:ind w:left="647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National (Non-P.P.)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spacing w:after="0" w:line="267" w:lineRule="auto"/>
                  <w:ind w:left="925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Attainment 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spacing w:after="0" w:line="267" w:lineRule="auto"/>
                  <w:ind w:left="1244" w:right="1224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33.67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spacing w:after="0" w:line="267" w:lineRule="auto"/>
                  <w:ind w:left="1244" w:right="1227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37.82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spacing w:after="0" w:line="267" w:lineRule="auto"/>
                  <w:ind w:left="1299" w:right="1278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31.5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spacing w:after="0" w:line="267" w:lineRule="auto"/>
                  <w:ind w:left="1299" w:right="1280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50.3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spacing w:after="0" w:line="267" w:lineRule="auto"/>
                  <w:ind w:left="894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Whole Cohort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spacing w:after="0" w:line="267" w:lineRule="auto"/>
                  <w:ind w:left="1098" w:right="1078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Non-P.P.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spacing w:after="0" w:line="267" w:lineRule="auto"/>
                  <w:ind w:left="1321" w:right="1297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P.P.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19"/>
            </w:sdtPr>
            <w:sdtContent>
              <w:p w:rsidR="00000000" w:rsidDel="00000000" w:rsidP="00000000" w:rsidRDefault="00000000" w:rsidRPr="00000000" w14:paraId="000000DC">
                <w:pPr>
                  <w:spacing w:after="0" w:line="267" w:lineRule="auto"/>
                  <w:ind w:left="647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National (Non-P.P.)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spacing w:after="0" w:line="267" w:lineRule="auto"/>
                  <w:ind w:left="1023" w:right="1004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Progress 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spacing w:after="0" w:line="267" w:lineRule="auto"/>
                  <w:ind w:left="1266" w:right="1243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-1.01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spacing w:after="0" w:line="267" w:lineRule="auto"/>
                  <w:ind w:left="1266" w:right="1246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-0.89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spacing w:after="0" w:line="267" w:lineRule="auto"/>
                  <w:ind w:left="1266" w:right="1243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-1.10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spacing w:after="0" w:line="267" w:lineRule="auto"/>
                  <w:ind w:left="1441" w:right="1422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25"/>
      </w:sdtPr>
      <w:sdtContent>
        <w:p w:rsidR="00000000" w:rsidDel="00000000" w:rsidP="00000000" w:rsidRDefault="00000000" w:rsidRPr="00000000" w14:paraId="000000E2">
          <w:pPr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6"/>
      </w:sdtPr>
      <w:sdtContent>
        <w:p w:rsidR="00000000" w:rsidDel="00000000" w:rsidP="00000000" w:rsidRDefault="00000000" w:rsidRPr="00000000" w14:paraId="000000E3">
          <w:pPr>
            <w:spacing w:after="0" w:before="9"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7"/>
        <w:tblW w:w="15305.0" w:type="dxa"/>
        <w:jc w:val="left"/>
        <w:tblInd w:w="94.0" w:type="dxa"/>
        <w:tblLayout w:type="fixed"/>
        <w:tblLook w:val="0000"/>
      </w:tblPr>
      <w:tblGrid>
        <w:gridCol w:w="3077"/>
        <w:gridCol w:w="7550"/>
        <w:gridCol w:w="2834"/>
        <w:gridCol w:w="1844"/>
        <w:tblGridChange w:id="0">
          <w:tblGrid>
            <w:gridCol w:w="3077"/>
            <w:gridCol w:w="7550"/>
            <w:gridCol w:w="2834"/>
            <w:gridCol w:w="1844"/>
          </w:tblGrid>
        </w:tblGridChange>
      </w:tblGrid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Outcomes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spacing w:after="0" w:line="267" w:lineRule="auto"/>
                  <w:ind w:left="1179" w:right="1160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Barrier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spacing w:after="0" w:line="267" w:lineRule="auto"/>
                  <w:ind w:left="3351" w:right="3330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Strategy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spacing w:after="0" w:line="267" w:lineRule="auto"/>
                  <w:ind w:left="1057" w:right="1037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Impact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EB">
                <w:pPr>
                  <w:spacing w:after="0" w:line="267" w:lineRule="auto"/>
                  <w:ind w:left="126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baseline"/>
                    <w:rtl w:val="0"/>
                  </w:rPr>
                  <w:t xml:space="preserve">Next Steps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35"/>
            </w:sdtPr>
            <w:sdtContent>
              <w:p w:rsidR="00000000" w:rsidDel="00000000" w:rsidP="00000000" w:rsidRDefault="00000000" w:rsidRPr="00000000" w14:paraId="000000EC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1. Progress of Higher Ability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6"/>
            </w:sdtPr>
            <w:sdtContent>
              <w:p w:rsidR="00000000" w:rsidDel="00000000" w:rsidP="00000000" w:rsidRDefault="00000000" w:rsidRPr="00000000" w14:paraId="000000ED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P.P.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HPA PP in KS4 are tracked as an identified group and all staff are aware of this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group via SIMs/Seating Plans.</w:t>
                </w:r>
              </w:p>
            </w:sdtContent>
          </w:sdt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spacing w:after="0" w:line="240" w:lineRule="auto"/>
                  <w:ind w:left="102" w:right="893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SLs ensure HPA are in the appropriate ability groups (where applicable). Y9 HPA are identified to ensure they start KS4 in the appropriate groups. HPA engagement in extra-curricular and revision, plus the promotion of independent learning, is increased.</w:t>
                </w:r>
              </w:p>
            </w:sdtContent>
          </w:sdt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spacing w:after="0" w:line="240" w:lineRule="auto"/>
                  <w:ind w:left="102" w:right="63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Designated LPs ensure there is consistent challenge for HPA across the curriculum for identified pupils and that this is met with consistent and appropriate pupil response.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u w:val="single"/>
                    <w:vertAlign w:val="baseline"/>
                    <w:rtl w:val="0"/>
                  </w:rPr>
                  <w:t xml:space="preserve">Key Stage 4: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31/10/18</w:t>
                </w:r>
              </w:p>
            </w:sdtContent>
          </w:sdt>
          <w:sdt>
            <w:sdtPr>
              <w:tag w:val="goog_rdk_243"/>
            </w:sdtPr>
            <w:sdtContent>
              <w:p w:rsidR="00000000" w:rsidDel="00000000" w:rsidP="00000000" w:rsidRDefault="00000000" w:rsidRPr="00000000" w14:paraId="000000F4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09/01/19</w:t>
                </w:r>
              </w:p>
            </w:sdtContent>
          </w:sdt>
          <w:sdt>
            <w:sdtPr>
              <w:tag w:val="goog_rdk_244"/>
            </w:sdtPr>
            <w:sdtContent>
              <w:p w:rsidR="00000000" w:rsidDel="00000000" w:rsidP="00000000" w:rsidRDefault="00000000" w:rsidRPr="00000000" w14:paraId="000000F5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14/03/19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5"/>
            </w:sdtPr>
            <w:sdtContent>
              <w:p w:rsidR="00000000" w:rsidDel="00000000" w:rsidP="00000000" w:rsidRDefault="00000000" w:rsidRPr="00000000" w14:paraId="000000F6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22/05/19 – Y11</w:t>
                </w:r>
              </w:p>
            </w:sdtContent>
          </w:sdt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05/07/19 – Y10</w:t>
                </w:r>
              </w:p>
            </w:sdtContent>
          </w:sdt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spacing w:after="0" w:before="9" w:line="260" w:lineRule="auto"/>
                  <w:rPr>
                    <w:sz w:val="26"/>
                    <w:szCs w:val="2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u w:val="single"/>
                    <w:rtl w:val="0"/>
                  </w:rPr>
                  <w:t xml:space="preserve">Key Stage 3: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28/11/18</w:t>
                </w:r>
              </w:p>
            </w:sdtContent>
          </w:sdt>
          <w:sdt>
            <w:sdtPr>
              <w:tag w:val="goog_rdk_250"/>
            </w:sdtPr>
            <w:sdtContent>
              <w:p w:rsidR="00000000" w:rsidDel="00000000" w:rsidP="00000000" w:rsidRDefault="00000000" w:rsidRPr="00000000" w14:paraId="000000FB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28.01.19 – Y9</w:t>
                </w:r>
              </w:p>
            </w:sdtContent>
          </w:sdt>
          <w:sdt>
            <w:sdtPr>
              <w:tag w:val="goog_rdk_251"/>
            </w:sdtPr>
            <w:sdtContent>
              <w:p w:rsidR="00000000" w:rsidDel="00000000" w:rsidP="00000000" w:rsidRDefault="00000000" w:rsidRPr="00000000" w14:paraId="000000FC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06/03/19 – Y7 &amp; Y8</w:t>
                </w:r>
              </w:p>
            </w:sdtContent>
          </w:sdt>
          <w:sdt>
            <w:sdtPr>
              <w:tag w:val="goog_rdk_252"/>
            </w:sdtPr>
            <w:sdtContent>
              <w:p w:rsidR="00000000" w:rsidDel="00000000" w:rsidP="00000000" w:rsidRDefault="00000000" w:rsidRPr="00000000" w14:paraId="000000FD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02/07/19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53"/>
            </w:sdtPr>
            <w:sdtContent>
              <w:p w:rsidR="00000000" w:rsidDel="00000000" w:rsidP="00000000" w:rsidRDefault="00000000" w:rsidRPr="00000000" w14:paraId="000000FE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2. Average A8 points for Middle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5"/>
            </w:sdtPr>
            <w:sdtContent>
              <w:p w:rsidR="00000000" w:rsidDel="00000000" w:rsidP="00000000" w:rsidRDefault="00000000" w:rsidRPr="00000000" w14:paraId="00000100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P.P.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56"/>
            </w:sdtPr>
            <w:sdtContent>
              <w:p w:rsidR="00000000" w:rsidDel="00000000" w:rsidP="00000000" w:rsidRDefault="00000000" w:rsidRPr="00000000" w14:paraId="00000101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Targets are clear and planning is applied with precision to ensure more Grade 5’s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7"/>
            </w:sdtPr>
            <w:sdtContent>
              <w:p w:rsidR="00000000" w:rsidDel="00000000" w:rsidP="00000000" w:rsidRDefault="00000000" w:rsidRPr="00000000" w14:paraId="00000102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are secured for pupils who are MA based on KS2 start points.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58"/>
            </w:sdtPr>
            <w:sdtContent>
              <w:p w:rsidR="00000000" w:rsidDel="00000000" w:rsidP="00000000" w:rsidRDefault="00000000" w:rsidRPr="00000000" w14:paraId="00000103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u w:val="single"/>
                    <w:vertAlign w:val="baseline"/>
                    <w:rtl w:val="0"/>
                  </w:rPr>
                  <w:t xml:space="preserve">Key Stage 4: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9"/>
            </w:sdtPr>
            <w:sdtContent>
              <w:p w:rsidR="00000000" w:rsidDel="00000000" w:rsidP="00000000" w:rsidRDefault="00000000" w:rsidRPr="00000000" w14:paraId="00000104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31/10/18</w:t>
                </w:r>
              </w:p>
            </w:sdtContent>
          </w:sdt>
          <w:sdt>
            <w:sdtPr>
              <w:tag w:val="goog_rdk_260"/>
            </w:sdtPr>
            <w:sdtContent>
              <w:p w:rsidR="00000000" w:rsidDel="00000000" w:rsidP="00000000" w:rsidRDefault="00000000" w:rsidRPr="00000000" w14:paraId="00000105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09/01/19</w:t>
                </w:r>
              </w:p>
            </w:sdtContent>
          </w:sdt>
          <w:sdt>
            <w:sdtPr>
              <w:tag w:val="goog_rdk_261"/>
            </w:sdtPr>
            <w:sdtContent>
              <w:p w:rsidR="00000000" w:rsidDel="00000000" w:rsidP="00000000" w:rsidRDefault="00000000" w:rsidRPr="00000000" w14:paraId="00000106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14/03/19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2"/>
            </w:sdtPr>
            <w:sdtContent>
              <w:p w:rsidR="00000000" w:rsidDel="00000000" w:rsidP="00000000" w:rsidRDefault="00000000" w:rsidRPr="00000000" w14:paraId="00000107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22/05/19 – Y11</w:t>
                </w:r>
              </w:p>
            </w:sdtContent>
          </w:sdt>
          <w:sdt>
            <w:sdtPr>
              <w:tag w:val="goog_rdk_263"/>
            </w:sdtPr>
            <w:sdtContent>
              <w:p w:rsidR="00000000" w:rsidDel="00000000" w:rsidP="00000000" w:rsidRDefault="00000000" w:rsidRPr="00000000" w14:paraId="00000108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05/07/19 – Y10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64"/>
            </w:sdtPr>
            <w:sdtContent>
              <w:p w:rsidR="00000000" w:rsidDel="00000000" w:rsidP="00000000" w:rsidRDefault="00000000" w:rsidRPr="00000000" w14:paraId="00000109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65"/>
            </w:sdtPr>
            <w:sdtContent>
              <w:p w:rsidR="00000000" w:rsidDel="00000000" w:rsidP="00000000" w:rsidRDefault="00000000" w:rsidRPr="00000000" w14:paraId="0000010A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3. Pupils enter KS4 at the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6"/>
            </w:sdtPr>
            <w:sdtContent>
              <w:p w:rsidR="00000000" w:rsidDel="00000000" w:rsidP="00000000" w:rsidRDefault="00000000" w:rsidRPr="00000000" w14:paraId="0000010B">
                <w:pPr>
                  <w:spacing w:after="0" w:line="240" w:lineRule="auto"/>
                  <w:ind w:left="102" w:right="483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necessary level in order to achieve end of KS4 targets.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vertAlign w:val="baseline"/>
                    <w:rtl w:val="0"/>
                  </w:rPr>
                  <w:t xml:space="preserve">Y9 is a gateway to success at KS4. Pupils are competent across the key skills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8"/>
            </w:sdtPr>
            <w:sdtContent>
              <w:p w:rsidR="00000000" w:rsidDel="00000000" w:rsidP="00000000" w:rsidRDefault="00000000" w:rsidRPr="00000000" w14:paraId="0000010D">
                <w:pPr>
                  <w:spacing w:after="0" w:line="240" w:lineRule="auto"/>
                  <w:ind w:left="102" w:right="63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within literacy, numeracy and communication in order to access GCSE work at the appropriate level.</w:t>
                </w:r>
              </w:p>
            </w:sdtContent>
          </w:sdt>
          <w:sdt>
            <w:sdtPr>
              <w:tag w:val="goog_rdk_269"/>
            </w:sdtPr>
            <w:sdtContent>
              <w:p w:rsidR="00000000" w:rsidDel="00000000" w:rsidP="00000000" w:rsidRDefault="00000000" w:rsidRPr="00000000" w14:paraId="0000010E">
                <w:pPr>
                  <w:spacing w:after="0" w:line="240" w:lineRule="auto"/>
                  <w:ind w:left="102" w:right="13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Non-core subjects ensure the key knowledge is secured by the second term of Y9 and mastered by the final term of Y9.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70"/>
            </w:sdtPr>
            <w:sdtContent>
              <w:p w:rsidR="00000000" w:rsidDel="00000000" w:rsidP="00000000" w:rsidRDefault="00000000" w:rsidRPr="00000000" w14:paraId="0000010F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u w:val="single"/>
                    <w:vertAlign w:val="baseline"/>
                    <w:rtl w:val="0"/>
                  </w:rPr>
                  <w:t xml:space="preserve">Key Stage 3: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1"/>
            </w:sdtPr>
            <w:sdtContent>
              <w:p w:rsidR="00000000" w:rsidDel="00000000" w:rsidP="00000000" w:rsidRDefault="00000000" w:rsidRPr="00000000" w14:paraId="00000110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28/11/18</w:t>
                </w:r>
              </w:p>
            </w:sdtContent>
          </w:sdt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28.01.19 – Y9</w:t>
                </w:r>
              </w:p>
            </w:sdtContent>
          </w:sdt>
          <w:sdt>
            <w:sdtPr>
              <w:tag w:val="goog_rdk_273"/>
            </w:sdtPr>
            <w:sdtContent>
              <w:p w:rsidR="00000000" w:rsidDel="00000000" w:rsidP="00000000" w:rsidRDefault="00000000" w:rsidRPr="00000000" w14:paraId="00000112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06/03/19 – Y7 &amp; Y8</w:t>
                </w:r>
              </w:p>
            </w:sdtContent>
          </w:sdt>
          <w:sdt>
            <w:sdtPr>
              <w:tag w:val="goog_rdk_274"/>
            </w:sdtPr>
            <w:sdtContent>
              <w:p w:rsidR="00000000" w:rsidDel="00000000" w:rsidP="00000000" w:rsidRDefault="00000000" w:rsidRPr="00000000" w14:paraId="00000113">
                <w:pPr>
                  <w:spacing w:after="0" w:line="240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02/07/19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75"/>
            </w:sdtPr>
            <w:sdtContent>
              <w:p w:rsidR="00000000" w:rsidDel="00000000" w:rsidP="00000000" w:rsidRDefault="00000000" w:rsidRPr="00000000" w14:paraId="00000114">
                <w:pPr>
                  <w:spacing w:after="0" w:line="267" w:lineRule="auto"/>
                  <w:ind w:left="102" w:right="-2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76"/>
      </w:sdtPr>
      <w:sdtContent>
        <w:p w:rsidR="00000000" w:rsidDel="00000000" w:rsidP="00000000" w:rsidRDefault="00000000" w:rsidRPr="00000000" w14:paraId="00000115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type w:val="nextPage"/>
      <w:pgSz w:h="11920" w:w="16840"/>
      <w:pgMar w:bottom="280" w:top="660" w:left="620" w:right="60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966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nN7cw/qm2PovgBKZhDH9CLm3w==">AMUW2mU2hDw7dEnYzu3yU3iPbNkKzzaDGzRRAvvwxvYp/MbezJK0eotmNmkZt7L/oglkIViVFBKS9hx2qQ4jBf9gTQg9wwtUlnl6a5HyxbAnhNU1m6rmR88=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2019-07-10T07:53:00Z</dcterms:created>
  <dc:creator>Peter Hitchen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2019-07-10T00:00:00Z</vt:filetime>
  </property>
</Properties>
</file>